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10" w:rsidRPr="00F45223" w:rsidRDefault="00DC3210" w:rsidP="00DC3210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32"/>
          <w:szCs w:val="32"/>
          <w:lang w:val="nb-NO"/>
        </w:rPr>
      </w:pPr>
      <w:r w:rsidRPr="00F45223">
        <w:rPr>
          <w:rFonts w:ascii="Trebuchet MS" w:hAnsi="Trebuchet MS" w:cs="Trebuchet MS"/>
          <w:b/>
          <w:bCs/>
          <w:sz w:val="32"/>
          <w:szCs w:val="32"/>
          <w:lang w:val="nb-NO"/>
        </w:rPr>
        <w:t>AVTALE OM INTERKOMMUNALT SAMARBEID</w:t>
      </w:r>
    </w:p>
    <w:p w:rsidR="00DC3210" w:rsidRPr="00F45223" w:rsidRDefault="00DC3210" w:rsidP="00DC3210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32"/>
          <w:szCs w:val="32"/>
          <w:lang w:val="nb-NO"/>
        </w:rPr>
      </w:pPr>
      <w:r w:rsidRPr="00F45223">
        <w:rPr>
          <w:rFonts w:ascii="Trebuchet MS" w:hAnsi="Trebuchet MS" w:cs="Trebuchet MS"/>
          <w:b/>
          <w:bCs/>
          <w:sz w:val="32"/>
          <w:szCs w:val="32"/>
          <w:lang w:val="nb-NO"/>
        </w:rPr>
        <w:t>(IS-AVTALE)</w:t>
      </w:r>
    </w:p>
    <w:p w:rsidR="00DC3210" w:rsidRPr="00F45223" w:rsidRDefault="00DC3210" w:rsidP="00DC3210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32"/>
          <w:szCs w:val="32"/>
          <w:lang w:val="nb-NO"/>
        </w:rPr>
      </w:pPr>
      <w:r w:rsidRPr="00F45223">
        <w:rPr>
          <w:rFonts w:ascii="Trebuchet MS" w:hAnsi="Trebuchet MS" w:cs="Trebuchet MS"/>
          <w:b/>
          <w:bCs/>
          <w:sz w:val="32"/>
          <w:szCs w:val="32"/>
          <w:lang w:val="nb-NO"/>
        </w:rPr>
        <w:t>SOSIALTJENESTEN FOR HOLTÅLEN OG RØROS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32"/>
          <w:szCs w:val="32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1 Partene i avtalen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Parter i avtalen er Holtålen kommune og Røros kommune.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Samarbeidsavtalen er inngått med hjemmel i </w:t>
      </w:r>
      <w:r>
        <w:rPr>
          <w:rFonts w:ascii="Trebuchet MS" w:hAnsi="Trebuchet MS" w:cs="Trebuchet MS"/>
          <w:sz w:val="20"/>
          <w:lang w:val="nb-NO"/>
        </w:rPr>
        <w:t xml:space="preserve">sosialtjenestelovens § 2-1, jf </w:t>
      </w:r>
      <w:r w:rsidRPr="00F45223">
        <w:rPr>
          <w:rFonts w:ascii="Trebuchet MS" w:hAnsi="Trebuchet MS" w:cs="Trebuchet MS"/>
          <w:sz w:val="20"/>
          <w:lang w:val="nb-NO"/>
        </w:rPr>
        <w:t>kommuneloven § 28a.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Samarbeidet er et administrativt vertskommunesamarbeid etter kommuneloven § 28b.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Holtålen kommune er vertskommune.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2 Bakgrunn og formål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Samarbeidsavtalen har et todelt siktemål:</w:t>
      </w:r>
    </w:p>
    <w:p w:rsidR="00DC3210" w:rsidRPr="00F45223" w:rsidRDefault="00DC3210" w:rsidP="00DC3210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Avtalen skal etablere felles sosialtjeneste for samarbeidskommunene, jf. sosialtjenesteloven § 2-1. Oppgaver og beslutningsmyndighet etter loven delegeres til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som vertskommune innenfor rammen av denne avtale. Arbeidsgiveransvaret for de av </w:t>
      </w:r>
      <w:r>
        <w:rPr>
          <w:rFonts w:ascii="Trebuchet MS" w:hAnsi="Trebuchet MS" w:cs="Trebuchet MS"/>
          <w:sz w:val="20"/>
          <w:lang w:val="nb-NO"/>
        </w:rPr>
        <w:t xml:space="preserve">Røros </w:t>
      </w:r>
      <w:r w:rsidRPr="00F45223">
        <w:rPr>
          <w:rFonts w:ascii="Trebuchet MS" w:hAnsi="Trebuchet MS" w:cs="Trebuchet MS"/>
          <w:sz w:val="20"/>
          <w:lang w:val="nb-NO"/>
        </w:rPr>
        <w:t>kommunes ansatte som skal ha sitt arbeid ved</w:t>
      </w:r>
      <w:r>
        <w:rPr>
          <w:rFonts w:ascii="Trebuchet MS" w:hAnsi="Trebuchet MS" w:cs="Trebuchet MS"/>
          <w:sz w:val="20"/>
          <w:lang w:val="nb-NO"/>
        </w:rPr>
        <w:t xml:space="preserve"> NAV-kontoret overføres til 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kommune.</w:t>
      </w:r>
    </w:p>
    <w:p w:rsidR="00DC3210" w:rsidRPr="00F45223" w:rsidRDefault="00DC3210" w:rsidP="00DC3210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Avtalen skal i tillegg etablere et kontaktpunkt for staten ved etablering og drift av felles NAV</w:t>
      </w:r>
      <w:r>
        <w:rPr>
          <w:rFonts w:ascii="Trebuchet MS" w:hAnsi="Trebuchet MS" w:cs="Trebuchet MS"/>
          <w:sz w:val="20"/>
          <w:lang w:val="nb-NO"/>
        </w:rPr>
        <w:t>-</w:t>
      </w:r>
      <w:r w:rsidRPr="00F45223">
        <w:rPr>
          <w:rFonts w:ascii="Trebuchet MS" w:hAnsi="Trebuchet MS" w:cs="Trebuchet MS"/>
          <w:sz w:val="20"/>
          <w:lang w:val="nb-NO"/>
        </w:rPr>
        <w:t>kontor</w:t>
      </w:r>
      <w:r>
        <w:rPr>
          <w:rFonts w:ascii="Trebuchet MS" w:hAnsi="Trebuchet MS" w:cs="Trebuchet MS"/>
          <w:sz w:val="20"/>
          <w:lang w:val="nb-NO"/>
        </w:rPr>
        <w:t xml:space="preserve"> m</w:t>
      </w:r>
      <w:r w:rsidRPr="00F45223">
        <w:rPr>
          <w:rFonts w:ascii="Trebuchet MS" w:hAnsi="Trebuchet MS" w:cs="Trebuchet MS"/>
          <w:sz w:val="20"/>
          <w:lang w:val="nb-NO"/>
        </w:rPr>
        <w:t xml:space="preserve">ellom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kommune, </w:t>
      </w:r>
      <w:r>
        <w:rPr>
          <w:rFonts w:ascii="Trebuchet MS" w:hAnsi="Trebuchet MS" w:cs="Trebuchet MS"/>
          <w:sz w:val="20"/>
          <w:lang w:val="nb-NO"/>
        </w:rPr>
        <w:t>Røros kommune</w:t>
      </w:r>
      <w:r w:rsidRPr="00F45223">
        <w:rPr>
          <w:rFonts w:ascii="Trebuchet MS" w:hAnsi="Trebuchet MS" w:cs="Trebuchet MS"/>
          <w:sz w:val="20"/>
          <w:lang w:val="nb-NO"/>
        </w:rPr>
        <w:t xml:space="preserve"> og staten.</w:t>
      </w:r>
      <w:r>
        <w:rPr>
          <w:rFonts w:ascii="Trebuchet MS" w:hAnsi="Trebuchet MS" w:cs="Trebuchet MS"/>
          <w:sz w:val="20"/>
          <w:lang w:val="nb-NO"/>
        </w:rPr>
        <w:t xml:space="preserve"> Holtålen </w:t>
      </w:r>
      <w:r w:rsidRPr="00F45223">
        <w:rPr>
          <w:rFonts w:ascii="Trebuchet MS" w:hAnsi="Trebuchet MS" w:cs="Trebuchet MS"/>
          <w:sz w:val="20"/>
          <w:lang w:val="nb-NO"/>
        </w:rPr>
        <w:t>kommune som vertskommune skal videredelegere oppgaver og myndighet til leder av NAVkontoret.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3 Oppgaver og myndighet som overføres til vertskommunen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Følgende oppgaver og myndighet blir delegert fra kommunestyret i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kommune, via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rådmannen i </w:t>
      </w:r>
      <w:r>
        <w:rPr>
          <w:rFonts w:ascii="Trebuchet MS" w:hAnsi="Trebuchet MS" w:cs="Trebuchet MS"/>
          <w:sz w:val="20"/>
          <w:lang w:val="nb-NO"/>
        </w:rPr>
        <w:t>Røros til rådmannen i 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kommune: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3-1 M</w:t>
      </w:r>
      <w:r w:rsidRPr="00F45223">
        <w:rPr>
          <w:rFonts w:ascii="Trebuchet MS" w:hAnsi="Trebuchet MS" w:cs="Trebuchet MS"/>
          <w:b/>
          <w:bCs/>
          <w:i/>
          <w:iCs/>
          <w:sz w:val="20"/>
          <w:lang w:val="nb-NO"/>
        </w:rPr>
        <w:t>yndighet innenfor sosialtjenesten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Oppgaver og myndighet etter lov om sosiale tjenester m.v. (sosialtjenesteloven) av 13. desember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1991 nr. 81,</w:t>
      </w:r>
      <w:r>
        <w:rPr>
          <w:rFonts w:ascii="Trebuchet MS" w:hAnsi="Trebuchet MS" w:cs="Trebuchet MS"/>
          <w:sz w:val="20"/>
          <w:lang w:val="nb-NO"/>
        </w:rPr>
        <w:t xml:space="preserve"> overføres fullt ut:</w:t>
      </w:r>
    </w:p>
    <w:p w:rsidR="00DC3210" w:rsidRPr="00F45223" w:rsidRDefault="00DC3210" w:rsidP="00DC3210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kapittel 5</w:t>
      </w:r>
    </w:p>
    <w:p w:rsidR="00DC3210" w:rsidRDefault="00DC3210" w:rsidP="00DC3210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kapittel 5A</w:t>
      </w:r>
    </w:p>
    <w:p w:rsidR="00DC3210" w:rsidRDefault="00DC3210" w:rsidP="00DC3210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behandling av søknader om startlån</w:t>
      </w:r>
    </w:p>
    <w:p w:rsidR="00DC3210" w:rsidRDefault="00DC3210" w:rsidP="00DC3210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behandling av søknader om bostøtte</w:t>
      </w:r>
    </w:p>
    <w:p w:rsidR="00DC3210" w:rsidRDefault="00DC3210" w:rsidP="00DC3210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behandling av søknader om botilskudd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Opplistingen av paragrafer er uttømmende. Det betyr at myndigheten etter øvrige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bestemmelser/kapitler i sosialtjenesteloven beholdes i de respektive kommuner.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 respektive kommuner beholder sitt ansvar for at de personer kommunen har ansvar for etter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s</w:t>
      </w:r>
      <w:r w:rsidRPr="00F45223">
        <w:rPr>
          <w:rFonts w:ascii="Trebuchet MS" w:hAnsi="Trebuchet MS" w:cs="Trebuchet MS"/>
          <w:sz w:val="20"/>
          <w:lang w:val="nb-NO"/>
        </w:rPr>
        <w:t>osialtjenesteloven</w:t>
      </w:r>
      <w:r>
        <w:rPr>
          <w:rFonts w:ascii="Trebuchet MS" w:hAnsi="Trebuchet MS" w:cs="Trebuchet MS"/>
          <w:sz w:val="20"/>
          <w:lang w:val="nb-NO"/>
        </w:rPr>
        <w:t>,</w:t>
      </w:r>
      <w:r w:rsidRPr="00F45223">
        <w:rPr>
          <w:rFonts w:ascii="Trebuchet MS" w:hAnsi="Trebuchet MS" w:cs="Trebuchet MS"/>
          <w:sz w:val="20"/>
          <w:lang w:val="nb-NO"/>
        </w:rPr>
        <w:t xml:space="preserve"> får de ytelser de etter loven har krav på.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3-2 Myndighet til å representere kommunene overfor staten ved etablering av NAV-kontoret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Sosialtjenesten skal inngå som en integrert del av NAV-kontoret under ledelse av en felles leder, i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henhold til NAV-avtalen.</w:t>
      </w:r>
      <w:r>
        <w:rPr>
          <w:rFonts w:ascii="Trebuchet MS" w:hAnsi="Trebuchet MS" w:cs="Trebuchet MS"/>
          <w:sz w:val="20"/>
          <w:lang w:val="nb-NO"/>
        </w:rPr>
        <w:t xml:space="preserve"> Avtale mellom NAV Sør-Trøndelag og Holtålen kommune.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som vertskommuner har også fullmakt til å representere samarbeidskommunene ved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forhandlinger og ved inngåelse av avtale med staten om etablering av felles NAV-kontor mellom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staten og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og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kommuner (NAV </w:t>
      </w:r>
      <w:r>
        <w:rPr>
          <w:rFonts w:ascii="Trebuchet MS" w:hAnsi="Trebuchet MS" w:cs="Trebuchet MS"/>
          <w:sz w:val="20"/>
          <w:lang w:val="nb-NO"/>
        </w:rPr>
        <w:t>Holtålen/Røros</w:t>
      </w:r>
      <w:r w:rsidRPr="00F45223">
        <w:rPr>
          <w:rFonts w:ascii="Trebuchet MS" w:hAnsi="Trebuchet MS" w:cs="Trebuchet MS"/>
          <w:sz w:val="20"/>
          <w:lang w:val="nb-NO"/>
        </w:rPr>
        <w:t>), jf. arbeids- og velferdsforvaltningsloven § 14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tredje ledd. Fremforhandlet utkast til slik avtale forelegges kommunene til godkjenning før den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inngås.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3-3 Myndighet til å representere kommunene overfor staten ved drift av NAV-kontoret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Forholdet mellom staten og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som vertskommune reguleres av samarbeidsavtalen om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felles NAV-kontor (NAV-avtalen) for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og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som vertskommune har fullmakt til å representere kommunene overfor staten ved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den løpende drift av NAV-kontoret, og kan innenfor rammen av vertskommuneavtalen ta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beslutninger på vegne av begge kommunene.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Fordelingen av retter og plikter mellom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og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reguleres av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vertskommuneavtalen.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4 Instruksjons- og omgjøringsmyndighet overfor vertskommunen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kan gi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instruks om utøving av den delegerte myndighet i saker som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alene gjelder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kommune, eller personer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etter sosialtjenesteloven har</w:t>
      </w:r>
      <w:r>
        <w:rPr>
          <w:rFonts w:ascii="Trebuchet MS" w:hAnsi="Trebuchet MS" w:cs="Trebuchet MS"/>
          <w:sz w:val="20"/>
          <w:lang w:val="nb-NO"/>
        </w:rPr>
        <w:t xml:space="preserve"> ansvar for. 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skal i slike saker uten ugrunnet opphold videreformidle denne instruksen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til NAV-leder.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For vedtak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kan treffe etter delegert myndighet etter denne avtale har </w:t>
      </w:r>
      <w:r>
        <w:rPr>
          <w:rFonts w:ascii="Trebuchet MS" w:hAnsi="Trebuchet MS" w:cs="Trebuchet MS"/>
          <w:sz w:val="20"/>
          <w:lang w:val="nb-NO"/>
        </w:rPr>
        <w:t>Røros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kommune samme omgjøringsmyndighet som etter forvaltningsloven § 35 første ledd, jf.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kommuneloven § 28b nr. 6. Der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beslutter å omgjøre slikt vedtak skal det gis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instruks om omgjøring til vertskommunen. Vertskommunen plikter da å omgjøre det vedtak som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NAV-leder har gjort etter delegert myndighet fra vertskommunen.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5 Klagesaker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Vertskommunens funksjon som underinstans i klagesaker etter forvaltningsloven § 33 annet ledd, jf.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kommuneloven § </w:t>
      </w:r>
      <w:smartTag w:uri="urn:schemas-microsoft-com:office:smarttags" w:element="metricconverter">
        <w:smartTagPr>
          <w:attr w:name="ProductID" w:val="28f"/>
        </w:smartTagPr>
        <w:r w:rsidRPr="00F45223">
          <w:rPr>
            <w:rFonts w:ascii="Trebuchet MS" w:hAnsi="Trebuchet MS" w:cs="Trebuchet MS"/>
            <w:sz w:val="20"/>
            <w:lang w:val="nb-NO"/>
          </w:rPr>
          <w:t>28f</w:t>
        </w:r>
      </w:smartTag>
      <w:r w:rsidRPr="00F45223">
        <w:rPr>
          <w:rFonts w:ascii="Trebuchet MS" w:hAnsi="Trebuchet MS" w:cs="Trebuchet MS"/>
          <w:sz w:val="20"/>
          <w:lang w:val="nb-NO"/>
        </w:rPr>
        <w:t xml:space="preserve"> nr. 3, skal delegeres til leder av NAV-kontoret.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b/>
          <w:bCs/>
          <w:sz w:val="18"/>
          <w:szCs w:val="18"/>
          <w:lang w:val="nb-NO"/>
        </w:rPr>
        <w:t xml:space="preserve">(Note. </w:t>
      </w: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Kommuneloven etablerer administrasjonen i vertskommunen som underinstans, jf. kommuneloven § </w:t>
      </w:r>
      <w:smartTag w:uri="urn:schemas-microsoft-com:office:smarttags" w:element="metricconverter">
        <w:smartTagPr>
          <w:attr w:name="ProductID" w:val="28f"/>
        </w:smartTagPr>
        <w:r w:rsidRPr="00F45223">
          <w:rPr>
            <w:rFonts w:ascii="Trebuchet MS" w:hAnsi="Trebuchet MS" w:cs="Trebuchet MS"/>
            <w:i/>
            <w:iCs/>
            <w:sz w:val="18"/>
            <w:szCs w:val="18"/>
            <w:lang w:val="nb-NO"/>
          </w:rPr>
          <w:t>28f</w:t>
        </w:r>
      </w:smartTag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nr. 3. Det er naturlig ettersom loven bygger på en forutsetning om at det er administrasjonen i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proofErr w:type="gramStart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vertskommunen som har truffet vedtaket.</w:t>
      </w:r>
      <w:proofErr w:type="gramEnd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 Når det her er anledning etter arbeids- og velferdsforvaltningsloven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§ 13 til å delegere vedtaksmyndighet til NAV-kontoret er spørsmålet om dette gir anledning til å fravike § </w:t>
      </w:r>
      <w:smartTag w:uri="urn:schemas-microsoft-com:office:smarttags" w:element="metricconverter">
        <w:smartTagPr>
          <w:attr w:name="ProductID" w:val="28f"/>
        </w:smartTagPr>
        <w:r w:rsidRPr="00F45223">
          <w:rPr>
            <w:rFonts w:ascii="Trebuchet MS" w:hAnsi="Trebuchet MS" w:cs="Trebuchet MS"/>
            <w:i/>
            <w:iCs/>
            <w:sz w:val="18"/>
            <w:szCs w:val="18"/>
            <w:lang w:val="nb-NO"/>
          </w:rPr>
          <w:t>28f</w:t>
        </w:r>
      </w:smartTag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proofErr w:type="gramStart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på dette punkt.</w:t>
      </w:r>
      <w:proofErr w:type="gramEnd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 Etter vår vurdering må vertskommunen kunne delegere til NAV-leder å være underinstans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. </w:t>
      </w: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Det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  <w:proofErr w:type="gramStart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gir neppe god mening om vertskommunen her skulle være underinstans.</w:t>
      </w:r>
      <w:proofErr w:type="gramEnd"/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 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>Merknad fra KS-advokatene som har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proofErr w:type="gramStart"/>
      <w:r w:rsidRPr="00F45223">
        <w:rPr>
          <w:rFonts w:ascii="Trebuchet MS" w:hAnsi="Trebuchet MS" w:cs="Trebuchet MS"/>
          <w:sz w:val="18"/>
          <w:szCs w:val="18"/>
          <w:lang w:val="nb-NO"/>
        </w:rPr>
        <w:t>formulert avtalepunktet.</w:t>
      </w: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)</w:t>
      </w:r>
      <w:proofErr w:type="gramEnd"/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6 Innhold og kvalitet på tjenester etter sosialtjenesteloven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Det skal tilstrebes at omfang, innhold og kvalitet på sosialtjenestens ytelser skal samordnes mellom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proofErr w:type="gramStart"/>
      <w:r w:rsidRPr="00F45223">
        <w:rPr>
          <w:rFonts w:ascii="Trebuchet MS" w:hAnsi="Trebuchet MS" w:cs="Trebuchet MS"/>
          <w:sz w:val="20"/>
          <w:lang w:val="nb-NO"/>
        </w:rPr>
        <w:t>de to kommunene så langt det lar seg gjøre.</w:t>
      </w:r>
      <w:proofErr w:type="gramEnd"/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Røros ko</w:t>
      </w:r>
      <w:r w:rsidRPr="00F45223">
        <w:rPr>
          <w:rFonts w:ascii="Trebuchet MS" w:hAnsi="Trebuchet MS" w:cs="Trebuchet MS"/>
          <w:sz w:val="20"/>
          <w:lang w:val="nb-NO"/>
        </w:rPr>
        <w:t>mmune skal ha full innsikt i data for tjenestekvalitet og brukertilfredshet for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tjenestene som blir fremskaffet gjennom vertskommunens styrings- og rapporteringssystem.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 xml:space="preserve">Røros </w:t>
      </w:r>
      <w:r w:rsidRPr="00F45223">
        <w:rPr>
          <w:rFonts w:ascii="Trebuchet MS" w:hAnsi="Trebuchet MS" w:cs="Trebuchet MS"/>
          <w:sz w:val="20"/>
          <w:lang w:val="nb-NO"/>
        </w:rPr>
        <w:t>kommune kan når den ønsker det, administrativt drøfte med administrasjonen i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vertskommunen innhold og kvalitet på </w:t>
      </w:r>
      <w:proofErr w:type="gramStart"/>
      <w:r w:rsidRPr="00F45223">
        <w:rPr>
          <w:rFonts w:ascii="Trebuchet MS" w:hAnsi="Trebuchet MS" w:cs="Trebuchet MS"/>
          <w:sz w:val="20"/>
          <w:lang w:val="nb-NO"/>
        </w:rPr>
        <w:t>de</w:t>
      </w:r>
      <w:proofErr w:type="gramEnd"/>
      <w:r w:rsidRPr="00F45223">
        <w:rPr>
          <w:rFonts w:ascii="Trebuchet MS" w:hAnsi="Trebuchet MS" w:cs="Trebuchet MS"/>
          <w:sz w:val="20"/>
          <w:lang w:val="nb-NO"/>
        </w:rPr>
        <w:t xml:space="preserve"> deler av sosialtjenestens område som omfattes av denne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avtalen.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7 Målstyring, årsbudsjett/økonomiplan og regnskap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Samarbeidskommunene skal årlig fastsette konkrete og realistiske mål for tjenesten.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lastRenderedPageBreak/>
        <w:t>Samarbeidskommunene skal i felleskap utarbeide budsjett for de oppgaver som omfattes av denne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avtalen. Budsjettforslaget, med den kommunevise fordeling av utgifter, inngår i den årlige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budsjettbehandlingen i hver kommune.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Budsjettet skal spesifiseres slik: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a) Kostnader knyttet til økonomiske ytelser til sosialhjelpmottakere.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b) Lønns- og driftskostnader for sosialtjenesten.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c) Overheadkostnader etter avtalt standard (kontorarbeidsplass).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d) Investeringer (avskrivning og renter).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i/>
          <w:iCs/>
          <w:sz w:val="20"/>
          <w:lang w:val="nb-NO"/>
        </w:rPr>
        <w:t>Dersom kommunestyrene ikke blir enige om årsbudsjett/økonomiplan for kommende år, legges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i/>
          <w:iCs/>
          <w:sz w:val="20"/>
          <w:lang w:val="nb-NO"/>
        </w:rPr>
        <w:t>inneværende årsbudsjett og gjeldende økonomiplan, justert for lønns- og prisstigning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i/>
          <w:iCs/>
          <w:sz w:val="20"/>
          <w:lang w:val="nb-NO"/>
        </w:rPr>
        <w:t>(statsbudsjettets forutsetninger), som budsjett for kommende år.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 fører regnskap for samarbeidet. Regnskapet skal føres slik at korrekt KOSTRArapportering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ivaretas på en effektiv måte.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Aktiviteter etter denne paragrafen er detaljert i rutinebeskrivelse for interkommunale samarbeid.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8 Vertskommunens myndighet til å pådra deltakerkommunene økonomiske forpliktelser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V</w:t>
      </w:r>
      <w:r w:rsidRPr="00F45223">
        <w:rPr>
          <w:rFonts w:ascii="Trebuchet MS" w:hAnsi="Trebuchet MS" w:cs="Trebuchet MS"/>
          <w:sz w:val="20"/>
          <w:lang w:val="nb-NO"/>
        </w:rPr>
        <w:t>ertskommunen har myndighet til på sosialtjenestens område å pådra deltakerkommunene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økonomiske forpliktelser innenfor vedtatt (justert) budsjett. Denne myndighet videredelegeres til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leder av NAV-kontoret.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Vertskommunen har myndighet til å pådra kommunene utgifter til drift av NAV </w:t>
      </w:r>
      <w:r>
        <w:rPr>
          <w:rFonts w:ascii="Trebuchet MS" w:hAnsi="Trebuchet MS" w:cs="Trebuchet MS"/>
          <w:sz w:val="20"/>
          <w:lang w:val="nb-NO"/>
        </w:rPr>
        <w:t>Holtålen/Røros</w:t>
      </w:r>
      <w:r w:rsidRPr="00F45223">
        <w:rPr>
          <w:rFonts w:ascii="Trebuchet MS" w:hAnsi="Trebuchet MS" w:cs="Trebuchet MS"/>
          <w:sz w:val="20"/>
          <w:lang w:val="nb-NO"/>
        </w:rPr>
        <w:t xml:space="preserve"> innenfor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rammen av NAV-avtalene og avtale om drift og forvaltning av eiendom for NAV H</w:t>
      </w:r>
      <w:r>
        <w:rPr>
          <w:rFonts w:ascii="Trebuchet MS" w:hAnsi="Trebuchet MS" w:cs="Trebuchet MS"/>
          <w:sz w:val="20"/>
          <w:lang w:val="nb-NO"/>
        </w:rPr>
        <w:t>oltålen/Røros</w:t>
      </w:r>
      <w:r w:rsidRPr="00F45223">
        <w:rPr>
          <w:rFonts w:ascii="Trebuchet MS" w:hAnsi="Trebuchet MS" w:cs="Trebuchet MS"/>
          <w:sz w:val="20"/>
          <w:lang w:val="nb-NO"/>
        </w:rPr>
        <w:t>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Vertskommunene har ansvar for å initiere nødvendige budsjettjusteringer.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9 Kostnadsfordeling mellom samarbeidskommunene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Kostnader knyttet til økonomiske ytelser til sosialhjelpmottakere fordeles kommunene etter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mottakernes bosted.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Alminnelige driftskostnader, inkludert lønnskostnader, fordeles mellom staten og vertskommunen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etter bestemmelsen i samarbeidsavtalen for NAV H</w:t>
      </w:r>
      <w:r>
        <w:rPr>
          <w:rFonts w:ascii="Trebuchet MS" w:hAnsi="Trebuchet MS" w:cs="Trebuchet MS"/>
          <w:sz w:val="20"/>
          <w:lang w:val="nb-NO"/>
        </w:rPr>
        <w:t>oltålen/Røros</w:t>
      </w:r>
      <w:r w:rsidRPr="00F45223">
        <w:rPr>
          <w:rFonts w:ascii="Trebuchet MS" w:hAnsi="Trebuchet MS" w:cs="Trebuchet MS"/>
          <w:sz w:val="20"/>
          <w:lang w:val="nb-NO"/>
        </w:rPr>
        <w:t xml:space="preserve"> og etter avtalen om drift og forvaltning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av eiendom for NAV H</w:t>
      </w:r>
      <w:r>
        <w:rPr>
          <w:rFonts w:ascii="Trebuchet MS" w:hAnsi="Trebuchet MS" w:cs="Trebuchet MS"/>
          <w:sz w:val="20"/>
          <w:lang w:val="nb-NO"/>
        </w:rPr>
        <w:t>oltålen/Røros</w:t>
      </w:r>
      <w:r w:rsidRPr="00F45223">
        <w:rPr>
          <w:rFonts w:ascii="Trebuchet MS" w:hAnsi="Trebuchet MS" w:cs="Trebuchet MS"/>
          <w:sz w:val="20"/>
          <w:lang w:val="nb-NO"/>
        </w:rPr>
        <w:t>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Kommunenes andel av driftskostnadene</w:t>
      </w:r>
      <w:r>
        <w:rPr>
          <w:rFonts w:ascii="Trebuchet MS" w:hAnsi="Trebuchet MS" w:cs="Trebuchet MS"/>
          <w:sz w:val="20"/>
          <w:lang w:val="nb-NO"/>
        </w:rPr>
        <w:t xml:space="preserve"> fordeles mellom Holtålen og Røros</w:t>
      </w:r>
      <w:r w:rsidRPr="00F45223">
        <w:rPr>
          <w:rFonts w:ascii="Trebuchet MS" w:hAnsi="Trebuchet MS" w:cs="Trebuchet MS"/>
          <w:sz w:val="20"/>
          <w:lang w:val="nb-NO"/>
        </w:rPr>
        <w:t xml:space="preserve"> kommuner etter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forholdsmessig andel av det samlede innbyggertall i kommunene. Forholdstallet fastsettes for hvert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kalenderår i samsvar med gjeldende rutiner for interkommunale samarbeid.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Standard overhead fordeles også etter folketall.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Inngangsbudsjettet legges ved avtalen. Oppstillinga skal vise konkret hvilke beregninger som legges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til grunn.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Frist for krav og betalingsfrister framgår av felles rutinebeskrivelse for interkommunale samarbeid.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10 Rapporteringsrutiner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skal rapportere til </w:t>
      </w:r>
      <w:r>
        <w:rPr>
          <w:rFonts w:ascii="Trebuchet MS" w:hAnsi="Trebuchet MS" w:cs="Trebuchet MS"/>
          <w:sz w:val="20"/>
          <w:lang w:val="nb-NO"/>
        </w:rPr>
        <w:t>Røros kommune</w:t>
      </w:r>
      <w:r w:rsidRPr="00F45223">
        <w:rPr>
          <w:rFonts w:ascii="Trebuchet MS" w:hAnsi="Trebuchet MS" w:cs="Trebuchet MS"/>
          <w:sz w:val="20"/>
          <w:lang w:val="nb-NO"/>
        </w:rPr>
        <w:t xml:space="preserve"> i samsvar med gjeldende rutiner for interkommunale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samarbeid, inntatt som vedlegg til denne avtale.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lastRenderedPageBreak/>
        <w:t>Ansvaret som påhviler den enkelte kommune om å rapportere informasjon om ressursbruk og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tjenesteyting til bruk i nasjonale informasjonssystemer (KOSTRA), blir ikke endret ved denne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avtalen.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11 Avtaleperiode, endringer, uttreden og avvikling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Avtalen gjelder fra </w:t>
      </w:r>
      <w:r>
        <w:rPr>
          <w:rFonts w:ascii="Trebuchet MS" w:hAnsi="Trebuchet MS" w:cs="Trebuchet MS"/>
          <w:sz w:val="20"/>
          <w:lang w:val="nb-NO"/>
        </w:rPr>
        <w:t>1. juni 2</w:t>
      </w:r>
      <w:r w:rsidRPr="00F45223">
        <w:rPr>
          <w:rFonts w:ascii="Trebuchet MS" w:hAnsi="Trebuchet MS" w:cs="Trebuchet MS"/>
          <w:sz w:val="20"/>
          <w:lang w:val="nb-NO"/>
        </w:rPr>
        <w:t>009 til 30.06.2014; deretter løper avtalen videre med mindre den 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oppsagt.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Der NAV-avtalen ikke er til hinder for det, skal uttreden eller avvikling skje på følgende måte:</w:t>
      </w:r>
      <w:r>
        <w:rPr>
          <w:rFonts w:ascii="Trebuchet MS" w:hAnsi="Trebuchet MS" w:cs="Trebuchet MS"/>
          <w:sz w:val="20"/>
          <w:lang w:val="nb-NO"/>
        </w:rPr>
        <w:t xml:space="preserve"> </w:t>
      </w:r>
    </w:p>
    <w:p w:rsidR="00DC3210" w:rsidRDefault="00DC3210" w:rsidP="00DC3210">
      <w:pPr>
        <w:numPr>
          <w:ilvl w:val="0"/>
          <w:numId w:val="4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Endring eller avvikling av samarbeidet kan skje ved gjensidig vedtak om dette i begge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kommunestyrene, på et tidspunkt man blir enig om.</w:t>
      </w:r>
    </w:p>
    <w:p w:rsidR="00DC3210" w:rsidRDefault="00DC3210" w:rsidP="00DC3210">
      <w:pPr>
        <w:numPr>
          <w:ilvl w:val="0"/>
          <w:numId w:val="4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Ensidig uttreden av samarbeidet kan skje gjennom vedtak i ett av kommunestyrene, men da med 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oppsigelsesfrist på minimum ett år.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12 Iverksetting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Avtalen iverksettes fra </w:t>
      </w:r>
      <w:r>
        <w:rPr>
          <w:rFonts w:ascii="Trebuchet MS" w:hAnsi="Trebuchet MS" w:cs="Trebuchet MS"/>
          <w:sz w:val="20"/>
          <w:lang w:val="nb-NO"/>
        </w:rPr>
        <w:t xml:space="preserve">1. juni 2009. </w:t>
      </w:r>
      <w:r w:rsidRPr="00F45223">
        <w:rPr>
          <w:rFonts w:ascii="Trebuchet MS" w:hAnsi="Trebuchet MS" w:cs="Trebuchet MS"/>
          <w:sz w:val="20"/>
          <w:lang w:val="nb-NO"/>
        </w:rPr>
        <w:t xml:space="preserve">Oppgaver og myndighet etter nærværende avtale overføres til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kommune med virkning fra det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tidspunkt.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Dersom NAV-avtalen endres skal behovet for endring av nærværende avtale drøftes mellom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administrasjonssjefene i samarbeidskommunene. Deres vurdering skal legges fram for de respektive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kommunestyrer med tilråding om eventuelle endringer. Endringer krever enighet mellom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kommunestyrene. Det kan ikke delegeres til andre å gjøre endringer i avtalen.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13 Tvister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Tvist om forståelse av avtalen avgjøres av en voldgiftsnemnd på tre medlemmer oppnevnt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fylkesmannen. Det samme gjelder tvist om utgiftsfordelingen.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0125BD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sz w:val="20"/>
          <w:lang w:val="nb-NO"/>
        </w:rPr>
      </w:pPr>
      <w:r w:rsidRPr="000125BD">
        <w:rPr>
          <w:rFonts w:ascii="Trebuchet MS" w:hAnsi="Trebuchet MS" w:cs="Trebuchet MS"/>
          <w:b/>
          <w:bCs/>
          <w:sz w:val="20"/>
          <w:lang w:val="nb-NO"/>
        </w:rPr>
        <w:t xml:space="preserve">14 </w:t>
      </w:r>
      <w:r w:rsidRPr="000125BD">
        <w:rPr>
          <w:rFonts w:ascii="Trebuchet MS" w:hAnsi="Trebuchet MS" w:cs="Trebuchet MS"/>
          <w:b/>
          <w:sz w:val="20"/>
          <w:lang w:val="nb-NO"/>
        </w:rPr>
        <w:t>Vedlegg til avtalen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Som en del av denne avtalen skal følgende rutinebeskrivelser og retningslinjer utarbeides: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numPr>
          <w:ilvl w:val="0"/>
          <w:numId w:val="3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Årsbudsjett for etableringen av samarbeidet.</w:t>
      </w:r>
    </w:p>
    <w:p w:rsidR="00DC3210" w:rsidRPr="00F45223" w:rsidRDefault="00DC3210" w:rsidP="00DC3210">
      <w:pPr>
        <w:numPr>
          <w:ilvl w:val="0"/>
          <w:numId w:val="3"/>
        </w:num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Retningslinjer for samhandling mellom sosialtjenesten og andre enheter i de respektive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kommuner.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Rådmennene i samarbeidskommunene skal sørge for at rutiner og retningslinjer som omtalt i </w:t>
      </w:r>
      <w:r>
        <w:rPr>
          <w:rFonts w:ascii="Trebuchet MS" w:hAnsi="Trebuchet MS" w:cs="Trebuchet MS"/>
          <w:sz w:val="20"/>
          <w:lang w:val="nb-NO"/>
        </w:rPr>
        <w:t>pkt 3</w:t>
      </w:r>
      <w:r w:rsidRPr="00F45223">
        <w:rPr>
          <w:rFonts w:ascii="Trebuchet MS" w:hAnsi="Trebuchet MS" w:cs="Trebuchet MS"/>
          <w:sz w:val="20"/>
          <w:lang w:val="nb-NO"/>
        </w:rPr>
        <w:t xml:space="preserve"> blir utarbeidet. Slike rutiner og retningslinjer skal foreligge når avtalen trer i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kraft, og er en del av avtalen.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Avtalen er vedtatt i kommunestyrene i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 dd.mm.åååå (sak NN/09)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og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dd.mm.åååå (sak NN/09)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Underskrifter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tbl>
      <w:tblPr>
        <w:tblW w:w="0" w:type="auto"/>
        <w:tblLook w:val="01E0"/>
      </w:tblPr>
      <w:tblGrid>
        <w:gridCol w:w="1731"/>
        <w:gridCol w:w="237"/>
        <w:gridCol w:w="1850"/>
        <w:gridCol w:w="401"/>
        <w:gridCol w:w="1702"/>
        <w:gridCol w:w="282"/>
        <w:gridCol w:w="1850"/>
      </w:tblGrid>
      <w:tr w:rsidR="0097532B" w:rsidRPr="0097532B" w:rsidTr="0097532B">
        <w:tc>
          <w:tcPr>
            <w:tcW w:w="1731" w:type="dxa"/>
            <w:tcBorders>
              <w:bottom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  <w:r w:rsidRPr="0097532B">
              <w:rPr>
                <w:rFonts w:ascii="Trebuchet MS" w:hAnsi="Trebuchet MS" w:cs="Trebuchet MS"/>
                <w:sz w:val="20"/>
                <w:lang w:val="nb-NO"/>
              </w:rPr>
              <w:t>Dato:</w:t>
            </w:r>
          </w:p>
        </w:tc>
        <w:tc>
          <w:tcPr>
            <w:tcW w:w="237" w:type="dxa"/>
          </w:tcPr>
          <w:p w:rsidR="00DC3210" w:rsidRPr="0097532B" w:rsidRDefault="00DC3210" w:rsidP="0097532B">
            <w:pPr>
              <w:tabs>
                <w:tab w:val="left" w:pos="1116"/>
              </w:tabs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401" w:type="dxa"/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  <w:r w:rsidRPr="0097532B">
              <w:rPr>
                <w:rFonts w:ascii="Trebuchet MS" w:hAnsi="Trebuchet MS" w:cs="Trebuchet MS"/>
                <w:sz w:val="20"/>
                <w:lang w:val="nb-NO"/>
              </w:rPr>
              <w:t>Dato</w:t>
            </w:r>
          </w:p>
        </w:tc>
        <w:tc>
          <w:tcPr>
            <w:tcW w:w="282" w:type="dxa"/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</w:tr>
      <w:tr w:rsidR="0097532B" w:rsidRPr="0097532B" w:rsidTr="0097532B">
        <w:tc>
          <w:tcPr>
            <w:tcW w:w="1731" w:type="dxa"/>
            <w:tcBorders>
              <w:top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237" w:type="dxa"/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  <w:r w:rsidRPr="0097532B">
              <w:rPr>
                <w:rFonts w:ascii="Trebuchet MS" w:hAnsi="Trebuchet MS" w:cs="Trebuchet MS"/>
                <w:sz w:val="20"/>
                <w:lang w:val="nb-NO"/>
              </w:rPr>
              <w:t>Rådmann Røros</w:t>
            </w:r>
          </w:p>
        </w:tc>
        <w:tc>
          <w:tcPr>
            <w:tcW w:w="401" w:type="dxa"/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282" w:type="dxa"/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DC3210" w:rsidRPr="0097532B" w:rsidRDefault="00DC3210" w:rsidP="0097532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lang w:val="nb-NO"/>
              </w:rPr>
            </w:pPr>
            <w:r w:rsidRPr="0097532B">
              <w:rPr>
                <w:rFonts w:ascii="Trebuchet MS" w:hAnsi="Trebuchet MS" w:cs="Trebuchet MS"/>
                <w:sz w:val="20"/>
                <w:lang w:val="nb-NO"/>
              </w:rPr>
              <w:t>Rådmann Holtålen</w:t>
            </w:r>
          </w:p>
        </w:tc>
      </w:tr>
    </w:tbl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32"/>
          <w:szCs w:val="32"/>
          <w:lang w:val="nb-NO"/>
        </w:rPr>
      </w:pPr>
      <w:r>
        <w:rPr>
          <w:rFonts w:ascii="Trebuchet MS" w:hAnsi="Trebuchet MS" w:cs="Trebuchet MS"/>
          <w:b/>
          <w:bCs/>
          <w:sz w:val="32"/>
          <w:szCs w:val="32"/>
          <w:lang w:val="nb-NO"/>
        </w:rPr>
        <w:br w:type="page"/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32"/>
          <w:szCs w:val="32"/>
          <w:lang w:val="nb-NO"/>
        </w:rPr>
      </w:pPr>
      <w:r w:rsidRPr="00F45223">
        <w:rPr>
          <w:rFonts w:ascii="Trebuchet MS" w:hAnsi="Trebuchet MS" w:cs="Trebuchet MS"/>
          <w:b/>
          <w:bCs/>
          <w:sz w:val="32"/>
          <w:szCs w:val="32"/>
          <w:lang w:val="nb-NO"/>
        </w:rPr>
        <w:t>SAMARBEIDSRUTINER FOR INTERKOMMUNALE SAMARBEID (IS)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>
        <w:rPr>
          <w:rFonts w:ascii="Trebuchet MS" w:hAnsi="Trebuchet MS" w:cs="Trebuchet MS"/>
          <w:b/>
          <w:bCs/>
          <w:sz w:val="22"/>
          <w:szCs w:val="22"/>
          <w:lang w:val="nb-NO"/>
        </w:rPr>
        <w:t>1</w:t>
      </w:r>
      <w:r w:rsidRPr="00F45223">
        <w:rPr>
          <w:rFonts w:ascii="Trebuchet MS" w:hAnsi="Trebuchet MS" w:cs="Trebuchet MS"/>
          <w:b/>
          <w:bCs/>
          <w:sz w:val="22"/>
          <w:szCs w:val="22"/>
          <w:lang w:val="nb-NO"/>
        </w:rPr>
        <w:t>. Definisjoner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Begrepene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vertskommune </w:t>
      </w:r>
      <w:r w:rsidRPr="00F45223">
        <w:rPr>
          <w:rFonts w:ascii="Trebuchet MS" w:hAnsi="Trebuchet MS" w:cs="Trebuchet MS"/>
          <w:sz w:val="20"/>
          <w:lang w:val="nb-NO"/>
        </w:rPr>
        <w:t xml:space="preserve">og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samarbeidskommune </w:t>
      </w:r>
      <w:r w:rsidRPr="00F45223">
        <w:rPr>
          <w:rFonts w:ascii="Trebuchet MS" w:hAnsi="Trebuchet MS" w:cs="Trebuchet MS"/>
          <w:sz w:val="20"/>
          <w:lang w:val="nb-NO"/>
        </w:rPr>
        <w:t xml:space="preserve">brukes i samsvar med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Kommunelovens </w:t>
      </w:r>
      <w:r w:rsidRPr="00F45223">
        <w:rPr>
          <w:rFonts w:ascii="Trebuchet MS" w:hAnsi="Trebuchet MS" w:cs="Trebuchet MS"/>
          <w:sz w:val="20"/>
          <w:lang w:val="nb-NO"/>
        </w:rPr>
        <w:t>§ 28b.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Administrativt vertskommunesamarbeid</w:t>
      </w:r>
      <w:r w:rsidRPr="00F45223">
        <w:rPr>
          <w:rFonts w:ascii="Trebuchet MS" w:hAnsi="Trebuchet MS" w:cs="Trebuchet MS"/>
          <w:sz w:val="20"/>
          <w:lang w:val="nb-NO"/>
        </w:rPr>
        <w:t xml:space="preserve">: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1. En kommune (samarbeidskommune) kan avtale med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en annen kommune (vertskommune) at vertskommunen skal utføre oppgaver og treffe avgjørelser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etter delegert myndighet fra samarbeidskommunen</w:t>
      </w:r>
      <w:r>
        <w:rPr>
          <w:rFonts w:ascii="Trebuchet MS" w:hAnsi="Trebuchet MS" w:cs="Trebuchet MS"/>
          <w:i/>
          <w:iCs/>
          <w:sz w:val="20"/>
          <w:lang w:val="nb-NO"/>
        </w:rPr>
        <w:t>e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 i enkeltsaker eller typer av saker som ikke er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av prinsipiell betydning.[...]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Deltakerkommunene </w:t>
      </w:r>
      <w:r w:rsidRPr="00F45223">
        <w:rPr>
          <w:rFonts w:ascii="Trebuchet MS" w:hAnsi="Trebuchet MS" w:cs="Trebuchet MS"/>
          <w:sz w:val="20"/>
          <w:lang w:val="nb-NO"/>
        </w:rPr>
        <w:t>brukes som benevnelse på de kommunene som er med i det interkommunale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samarbeidet (vertskommune og en </w:t>
      </w:r>
      <w:r>
        <w:rPr>
          <w:rFonts w:ascii="Trebuchet MS" w:hAnsi="Trebuchet MS" w:cs="Trebuchet MS"/>
          <w:sz w:val="20"/>
          <w:lang w:val="nb-NO"/>
        </w:rPr>
        <w:t>eller flere samarbeidskommuner).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Navneregel: Vertskommunens navn står sist når det ikke er naturlig å bruke </w:t>
      </w:r>
      <w:r>
        <w:rPr>
          <w:rFonts w:ascii="Trebuchet MS" w:hAnsi="Trebuchet MS" w:cs="Trebuchet MS"/>
          <w:sz w:val="20"/>
          <w:lang w:val="nb-NO"/>
        </w:rPr>
        <w:t xml:space="preserve">evt. </w:t>
      </w:r>
      <w:r w:rsidRPr="00F45223">
        <w:rPr>
          <w:rFonts w:ascii="Trebuchet MS" w:hAnsi="Trebuchet MS" w:cs="Trebuchet MS"/>
          <w:sz w:val="20"/>
          <w:lang w:val="nb-NO"/>
        </w:rPr>
        <w:t xml:space="preserve">samlebetegnelse for deltakerkommunene. F.eks.: Sosialtjenesten for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 og </w:t>
      </w:r>
      <w:r>
        <w:rPr>
          <w:rFonts w:ascii="Trebuchet MS" w:hAnsi="Trebuchet MS" w:cs="Trebuchet MS"/>
          <w:sz w:val="20"/>
          <w:lang w:val="nb-NO"/>
        </w:rPr>
        <w:t>Holtålen</w:t>
      </w:r>
      <w:r w:rsidRPr="00F45223">
        <w:rPr>
          <w:rFonts w:ascii="Trebuchet MS" w:hAnsi="Trebuchet MS" w:cs="Trebuchet MS"/>
          <w:sz w:val="20"/>
          <w:lang w:val="nb-NO"/>
        </w:rPr>
        <w:t>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>
        <w:rPr>
          <w:rFonts w:ascii="Trebuchet MS" w:hAnsi="Trebuchet MS" w:cs="Trebuchet MS"/>
          <w:b/>
          <w:bCs/>
          <w:sz w:val="20"/>
          <w:lang w:val="nb-NO"/>
        </w:rPr>
        <w:t>2</w:t>
      </w:r>
      <w:r w:rsidRPr="00F45223">
        <w:rPr>
          <w:rFonts w:ascii="Trebuchet MS" w:hAnsi="Trebuchet MS" w:cs="Trebuchet MS"/>
          <w:b/>
          <w:bCs/>
          <w:sz w:val="20"/>
          <w:lang w:val="nb-NO"/>
        </w:rPr>
        <w:t xml:space="preserve">. </w:t>
      </w:r>
      <w:r w:rsidRPr="00F45223">
        <w:rPr>
          <w:rFonts w:ascii="Trebuchet MS" w:hAnsi="Trebuchet MS" w:cs="Trebuchet MS"/>
          <w:b/>
          <w:bCs/>
          <w:sz w:val="22"/>
          <w:szCs w:val="22"/>
          <w:lang w:val="nb-NO"/>
        </w:rPr>
        <w:t>Målstyring, årsbudsjett og økonomiplan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Oppstart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 xml:space="preserve">Oppstartsmøtet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IS-møte 1 – mål og økonomi </w:t>
      </w:r>
      <w:r w:rsidRPr="00F45223">
        <w:rPr>
          <w:rFonts w:ascii="Trebuchet MS" w:hAnsi="Trebuchet MS" w:cs="Trebuchet MS"/>
          <w:sz w:val="20"/>
          <w:lang w:val="nb-NO"/>
        </w:rPr>
        <w:t xml:space="preserve">skal avholdes innen 1. </w:t>
      </w:r>
      <w:r>
        <w:rPr>
          <w:rFonts w:ascii="Trebuchet MS" w:hAnsi="Trebuchet MS" w:cs="Trebuchet MS"/>
          <w:sz w:val="20"/>
          <w:lang w:val="nb-NO"/>
        </w:rPr>
        <w:t>oktober 2009</w:t>
      </w:r>
      <w:r w:rsidRPr="00F45223">
        <w:rPr>
          <w:rFonts w:ascii="Trebuchet MS" w:hAnsi="Trebuchet MS" w:cs="Trebuchet MS"/>
          <w:sz w:val="20"/>
          <w:lang w:val="nb-NO"/>
        </w:rPr>
        <w:t>. Deltakere er samarbeidets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rådmenn og samarbeidets ansvarlige (vertskommunens </w:t>
      </w:r>
      <w:r>
        <w:rPr>
          <w:rFonts w:ascii="Trebuchet MS" w:hAnsi="Trebuchet MS" w:cs="Trebuchet MS"/>
          <w:sz w:val="20"/>
          <w:lang w:val="nb-NO"/>
        </w:rPr>
        <w:t>l</w:t>
      </w:r>
      <w:r w:rsidRPr="00F45223">
        <w:rPr>
          <w:rFonts w:ascii="Trebuchet MS" w:hAnsi="Trebuchet MS" w:cs="Trebuchet MS"/>
          <w:sz w:val="20"/>
          <w:lang w:val="nb-NO"/>
        </w:rPr>
        <w:t>everandør/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samarbeidskommunens daglige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oppfølger). Møtet ledes av vertskommunen.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Møtene ledes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vertskommunen.</w:t>
      </w:r>
      <w:r>
        <w:rPr>
          <w:rFonts w:ascii="Trebuchet MS" w:hAnsi="Trebuchet MS" w:cs="Trebuchet MS"/>
          <w:sz w:val="20"/>
          <w:lang w:val="nb-NO"/>
        </w:rPr>
        <w:t xml:space="preserve"> I samarbeidsmøtene deltar 1 representant for ansatte. Arbeidstakerorganisasjonene peker ut representant. 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Dagsorden settes av de t</w:t>
      </w:r>
      <w:r>
        <w:rPr>
          <w:rFonts w:ascii="Trebuchet MS" w:hAnsi="Trebuchet MS" w:cs="Trebuchet MS"/>
          <w:sz w:val="20"/>
          <w:lang w:val="nb-NO"/>
        </w:rPr>
        <w:t>emainnspill som foreligger per 15. september</w:t>
      </w:r>
      <w:r w:rsidRPr="00F45223">
        <w:rPr>
          <w:rFonts w:ascii="Trebuchet MS" w:hAnsi="Trebuchet MS" w:cs="Trebuchet MS"/>
          <w:sz w:val="20"/>
          <w:lang w:val="nb-NO"/>
        </w:rPr>
        <w:t>; hovedtemaer er: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Tjenesteleveransen (statistikk, brukerundersøkelser, etc.), samarbeidet (erfaringer/forbedringer),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kvalitet (måloppnåelse/regnskap), og styringssignaler (mål/økonomi). Dagsorden kan suppleres med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andre saker, innspill skal utveksles skriftlig innen en uke før møtet.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Dette første IS-møtet skal ende ut i en bestilling av etterarbeid som skal utføres som forberedelse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til "samarbeidsmøte 2 – sluttføring mål og økonomi". dette møte skal avholdes innen 31. oktober.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Kommunene bør vurdere behovet for å koble på kommunestyret i en kommuneintern politisk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behandling av samarbeidet, f.eks. i rammen av et "eierskapsmøte". Temaet vil da være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>samarbeidet (erfaringer/forbedringer) og signaler til budsjettprosessen (først og fremst mål).</w:t>
      </w:r>
      <w:r>
        <w:rPr>
          <w:rFonts w:ascii="Trebuchet MS" w:hAnsi="Trebuchet MS" w:cs="Trebuchet MS"/>
          <w:i/>
          <w:iCs/>
          <w:sz w:val="20"/>
          <w:lang w:val="nb-NO"/>
        </w:rPr>
        <w:t xml:space="preserve"> 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IS-møte 2 – sluttføring mål og økonomi </w:t>
      </w:r>
      <w:r w:rsidRPr="00F45223">
        <w:rPr>
          <w:rFonts w:ascii="Trebuchet MS" w:hAnsi="Trebuchet MS" w:cs="Trebuchet MS"/>
          <w:sz w:val="20"/>
          <w:lang w:val="nb-NO"/>
        </w:rPr>
        <w:t>skal avholdes innen 31. oktober. Deltakere er samarbeidets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rådmenn samarbeidets ansvarlige (vertskommunens leverandør og samarbeidskommunens daglige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oppfølger). Møtet ledes av vertskommunen. Andre tertialrapport pr 31. august skal følges opp i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dette møtet. Suppleringer til dagsorden på møte 2 skal utveksles skriftlig innen 1 uke før møtet.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Møtet SKAL </w:t>
      </w:r>
      <w:proofErr w:type="gramStart"/>
      <w:r w:rsidRPr="00F45223">
        <w:rPr>
          <w:rFonts w:ascii="Trebuchet MS" w:hAnsi="Trebuchet MS" w:cs="Trebuchet MS"/>
          <w:sz w:val="20"/>
          <w:lang w:val="nb-NO"/>
        </w:rPr>
        <w:t>konkludere</w:t>
      </w:r>
      <w:proofErr w:type="gramEnd"/>
      <w:r w:rsidRPr="00F45223">
        <w:rPr>
          <w:rFonts w:ascii="Trebuchet MS" w:hAnsi="Trebuchet MS" w:cs="Trebuchet MS"/>
          <w:sz w:val="20"/>
          <w:lang w:val="nb-NO"/>
        </w:rPr>
        <w:t xml:space="preserve"> med forslag til mål og tilhørende budsjettforslag og forslag til økonomiplan.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Forslaget skal basere seg på Inneværende budsjett pluss lønns- og prisvekst (statsbudsjettets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forutsetninger benyttes), pluss vedtatte endringer, pluss prioriteringer fra kommunestyrene,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herunder forslag om økning eller kutt, tiltak for utvikling av tjenesten eller kostnadsreduserende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tiltak med konsekvenser; til sammen skal dette gi ramme for neste år med fordeling på den enkelte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kommune i henhold til konkret samarbeidsavtale. Utover dette utarbeider vertskommunen liste over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eventuelle tiltak som krever økt ramme og liste over innsparingsforslag med beløp og konsekvenser.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Møtene ledes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vertskommunen.</w:t>
      </w:r>
      <w:r>
        <w:rPr>
          <w:rFonts w:ascii="Trebuchet MS" w:hAnsi="Trebuchet MS" w:cs="Trebuchet MS"/>
          <w:sz w:val="20"/>
          <w:lang w:val="nb-NO"/>
        </w:rPr>
        <w:t xml:space="preserve"> I samarbeidsmøtene deltar 1 representant for ansatte. Arbeidstakerorganisasjonene peker ut representant. 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Drift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De</w:t>
      </w:r>
      <w:r>
        <w:rPr>
          <w:rFonts w:ascii="Trebuchet MS" w:hAnsi="Trebuchet MS" w:cs="Trebuchet MS"/>
          <w:sz w:val="20"/>
          <w:lang w:val="nb-NO"/>
        </w:rPr>
        <w:t>t</w:t>
      </w:r>
      <w:r w:rsidRPr="00F45223">
        <w:rPr>
          <w:rFonts w:ascii="Trebuchet MS" w:hAnsi="Trebuchet MS" w:cs="Trebuchet MS"/>
          <w:sz w:val="20"/>
          <w:lang w:val="nb-NO"/>
        </w:rPr>
        <w:t xml:space="preserve"> skal avholdes minimum to samarbeidsmøter per år. Møtene gis betegnelsen IS-møter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(interkommunalt samarbeid-møte). Her deltar samarbeidets rådmenn og samarbeidets ansvarlige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(vertskommunens leverandør/samarbeidskommunens daglige oppfølger). Møtene ledes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lastRenderedPageBreak/>
        <w:t>vertskommunen.</w:t>
      </w:r>
      <w:r>
        <w:rPr>
          <w:rFonts w:ascii="Trebuchet MS" w:hAnsi="Trebuchet MS" w:cs="Trebuchet MS"/>
          <w:sz w:val="20"/>
          <w:lang w:val="nb-NO"/>
        </w:rPr>
        <w:t xml:space="preserve"> I samarbeidsmøtene deltar 1 representant for ansatte. Arbeidstakerorganisasjonene peker ut representant. 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Kommunenes årsmelding skal foreligge innen 31. mars. Samarbeidskommunene skal på bakgrunn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årsmeldinga hver for seg og uavhengig av den andre kommunens initiativ utveksle innspill til mål og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økonomi innen samme frist; konkretiseres til 20. mars.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IS-møtet skal i tillegg konkret vurdere rapportering per 1. tertial. Første tertialrapport per 30. april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kan inneholde signaler som samarbeidet må ta standpunkt til sammen med årsmeldingen. Nye tiltak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skal gis mål og eventuelle økonomiske konsekvenser må beregnes til budsjettprosessen.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Forslaget innarbeides i (samarbeids)kommunenes budsjetter. Ved behov avholdes ytterlige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drøftinger mellom kommunene i samarbeidet.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Til orientering: Samarbeidsavtalen inneholder forslag til en </w:t>
      </w: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 xml:space="preserve">uenighetsparagraf 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>for å sikre at interkommunale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samarbeid har et budsjett selv om kommunestyrene ikke blir enige om endring av mål eller økonomi: </w:t>
      </w: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Dersom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kommunestyrene ikke blir enige om nytt budsjett gjelder fjorårets budsjett justert for lønns- og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i/>
          <w:iCs/>
          <w:sz w:val="18"/>
          <w:szCs w:val="18"/>
          <w:lang w:val="nb-NO"/>
        </w:rPr>
        <w:t>prisstigning.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>
        <w:rPr>
          <w:rFonts w:ascii="Trebuchet MS" w:hAnsi="Trebuchet MS" w:cs="Trebuchet MS"/>
          <w:b/>
          <w:bCs/>
          <w:sz w:val="22"/>
          <w:szCs w:val="22"/>
          <w:lang w:val="nb-NO"/>
        </w:rPr>
        <w:t>3</w:t>
      </w:r>
      <w:r w:rsidRPr="00F45223">
        <w:rPr>
          <w:rFonts w:ascii="Trebuchet MS" w:hAnsi="Trebuchet MS" w:cs="Trebuchet MS"/>
          <w:b/>
          <w:bCs/>
          <w:sz w:val="22"/>
          <w:szCs w:val="22"/>
          <w:lang w:val="nb-NO"/>
        </w:rPr>
        <w:t>. Rapportering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For rapportering og regnskap etter kommuneregnskapsforskriften gjelder følgende: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 avgir te</w:t>
      </w:r>
      <w:r>
        <w:rPr>
          <w:rFonts w:ascii="Trebuchet MS" w:hAnsi="Trebuchet MS" w:cs="Trebuchet MS"/>
          <w:sz w:val="20"/>
          <w:lang w:val="nb-NO"/>
        </w:rPr>
        <w:t>rtialrapport per 30. april og 31. august</w:t>
      </w:r>
      <w:r w:rsidRPr="00F45223">
        <w:rPr>
          <w:rFonts w:ascii="Trebuchet MS" w:hAnsi="Trebuchet MS" w:cs="Trebuchet MS"/>
          <w:sz w:val="20"/>
          <w:lang w:val="nb-NO"/>
        </w:rPr>
        <w:t xml:space="preserve"> for å kunne gi samarbeidskommunen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informasjon om status for måloppnåelse og regnskap. Eventuelle avvik skal påpekes og forklares.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Siste frist</w:t>
      </w:r>
      <w:r>
        <w:rPr>
          <w:rFonts w:ascii="Trebuchet MS" w:hAnsi="Trebuchet MS" w:cs="Trebuchet MS"/>
          <w:sz w:val="20"/>
          <w:lang w:val="nb-NO"/>
        </w:rPr>
        <w:t xml:space="preserve"> for oversendelse: 20. mai og 20</w:t>
      </w:r>
      <w:r w:rsidRPr="00F45223">
        <w:rPr>
          <w:rFonts w:ascii="Trebuchet MS" w:hAnsi="Trebuchet MS" w:cs="Trebuchet MS"/>
          <w:sz w:val="20"/>
          <w:lang w:val="nb-NO"/>
        </w:rPr>
        <w:t>. september.</w:t>
      </w:r>
      <w:r>
        <w:rPr>
          <w:rFonts w:ascii="Trebuchet MS" w:hAnsi="Trebuchet MS" w:cs="Trebuchet MS"/>
          <w:sz w:val="20"/>
          <w:lang w:val="nb-NO"/>
        </w:rPr>
        <w:t xml:space="preserve"> Rådmennene kan avtale å forskyve rapporteringsdatoer.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Rapportering vedtak (jf Kommuneloven § 28e pkt 2d): Vertskommunen utarbeider årsrapporter med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proofErr w:type="gramStart"/>
      <w:r w:rsidRPr="00F45223">
        <w:rPr>
          <w:rFonts w:ascii="Trebuchet MS" w:hAnsi="Trebuchet MS" w:cs="Trebuchet MS"/>
          <w:sz w:val="20"/>
          <w:lang w:val="nb-NO"/>
        </w:rPr>
        <w:t>vedtaksstatistikk og øvrig relevant statistikk for tjenesten.</w:t>
      </w:r>
      <w:proofErr w:type="gramEnd"/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Årsrapport økonomi per 31. desember (3. tertial) settes opp med hovedtall, regnskap mot budsjett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proofErr w:type="gramStart"/>
      <w:r w:rsidRPr="00F45223">
        <w:rPr>
          <w:rFonts w:ascii="Trebuchet MS" w:hAnsi="Trebuchet MS" w:cs="Trebuchet MS"/>
          <w:sz w:val="20"/>
          <w:lang w:val="nb-NO"/>
        </w:rPr>
        <w:t>og fordeling på kommunene.</w:t>
      </w:r>
      <w:proofErr w:type="gramEnd"/>
      <w:r w:rsidRPr="00F45223">
        <w:rPr>
          <w:rFonts w:ascii="Trebuchet MS" w:hAnsi="Trebuchet MS" w:cs="Trebuchet MS"/>
          <w:sz w:val="20"/>
          <w:lang w:val="nb-NO"/>
        </w:rPr>
        <w:t xml:space="preserve"> Frist innen 5. februar.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Vertskommunens rapportering skal gi samarbeidskommunen korrekt grunnlag for rapportering til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KOSTRA.</w:t>
      </w:r>
      <w:r>
        <w:rPr>
          <w:rFonts w:ascii="Trebuchet MS" w:hAnsi="Trebuchet MS" w:cs="Trebuchet MS"/>
          <w:sz w:val="20"/>
          <w:lang w:val="nb-NO"/>
        </w:rPr>
        <w:br/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Måloppnåelse (årsmelding) for tjenesten beskrives inkludert tall på overordnet nivå; eventuelle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avvik skal påpekes og forklares. Rapport oversendes senest 15. mars. Årsrapportene gjennomgås av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deltakerkommunene på IS-møtet i mai.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 w:rsidRPr="00F45223">
        <w:rPr>
          <w:rFonts w:ascii="Trebuchet MS" w:hAnsi="Trebuchet MS" w:cs="Trebuchet MS"/>
          <w:b/>
          <w:bCs/>
          <w:sz w:val="22"/>
          <w:szCs w:val="22"/>
          <w:lang w:val="nb-NO"/>
        </w:rPr>
        <w:t>Økonomirutiner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Vertskommunen fakturerer samarbeidskommunen etter budsjett for inneværende år med 50 % for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første halvår. Faktureringsfrist 1. mars (betalingsfrist 1. april). Klientkostnader faktureres likevel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måned for måned.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Fordeling beregnes etter andel innbyggere per 31. desember. Det benyttes konkrete forholdstall: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 xml:space="preserve">Konkret for </w:t>
      </w:r>
      <w:r w:rsidRPr="00F45223">
        <w:rPr>
          <w:rFonts w:ascii="Trebuchet MS" w:hAnsi="Trebuchet MS" w:cs="Trebuchet MS"/>
          <w:i/>
          <w:iCs/>
          <w:sz w:val="20"/>
          <w:lang w:val="nb-NO"/>
        </w:rPr>
        <w:t xml:space="preserve">Sosialtjenesten for </w:t>
      </w:r>
      <w:r>
        <w:rPr>
          <w:rFonts w:ascii="Trebuchet MS" w:hAnsi="Trebuchet MS" w:cs="Trebuchet MS"/>
          <w:i/>
          <w:iCs/>
          <w:sz w:val="20"/>
          <w:lang w:val="nb-NO"/>
        </w:rPr>
        <w:t>Røros og Holtålen</w:t>
      </w:r>
      <w:r w:rsidRPr="00F45223">
        <w:rPr>
          <w:rFonts w:ascii="Trebuchet MS" w:hAnsi="Trebuchet MS" w:cs="Trebuchet MS"/>
          <w:sz w:val="20"/>
          <w:lang w:val="nb-NO"/>
        </w:rPr>
        <w:t xml:space="preserve">: Innbyggere </w:t>
      </w:r>
      <w:r>
        <w:rPr>
          <w:rFonts w:ascii="Trebuchet MS" w:hAnsi="Trebuchet MS" w:cs="Trebuchet MS"/>
          <w:sz w:val="20"/>
          <w:lang w:val="nb-NO"/>
        </w:rPr>
        <w:t>Røros</w:t>
      </w:r>
      <w:r w:rsidRPr="00F45223">
        <w:rPr>
          <w:rFonts w:ascii="Trebuchet MS" w:hAnsi="Trebuchet MS" w:cs="Trebuchet MS"/>
          <w:sz w:val="20"/>
          <w:lang w:val="nb-NO"/>
        </w:rPr>
        <w:t xml:space="preserve">: </w:t>
      </w:r>
      <w:r>
        <w:rPr>
          <w:rFonts w:ascii="Trebuchet MS" w:hAnsi="Trebuchet MS" w:cs="Trebuchet MS"/>
          <w:sz w:val="20"/>
          <w:lang w:val="nb-NO"/>
        </w:rPr>
        <w:t>5.563; Holtålen 2.064 s</w:t>
      </w:r>
      <w:r w:rsidRPr="00F45223">
        <w:rPr>
          <w:rFonts w:ascii="Trebuchet MS" w:hAnsi="Trebuchet MS" w:cs="Trebuchet MS"/>
          <w:sz w:val="20"/>
          <w:lang w:val="nb-NO"/>
        </w:rPr>
        <w:t xml:space="preserve">um </w:t>
      </w:r>
      <w:r>
        <w:rPr>
          <w:rFonts w:ascii="Trebuchet MS" w:hAnsi="Trebuchet MS" w:cs="Trebuchet MS"/>
          <w:sz w:val="20"/>
          <w:lang w:val="nb-NO"/>
        </w:rPr>
        <w:t>7.627. Røros</w:t>
      </w:r>
      <w:r w:rsidRPr="00F45223">
        <w:rPr>
          <w:rFonts w:ascii="Trebuchet MS" w:hAnsi="Trebuchet MS" w:cs="Trebuchet MS"/>
          <w:sz w:val="20"/>
          <w:lang w:val="nb-NO"/>
        </w:rPr>
        <w:t xml:space="preserve"> andel </w:t>
      </w:r>
      <w:r>
        <w:rPr>
          <w:rFonts w:ascii="Trebuchet MS" w:hAnsi="Trebuchet MS" w:cs="Trebuchet MS"/>
          <w:sz w:val="20"/>
          <w:lang w:val="nb-NO"/>
        </w:rPr>
        <w:t>5563/7.627</w:t>
      </w:r>
      <w:r w:rsidRPr="00F45223">
        <w:rPr>
          <w:rFonts w:ascii="Trebuchet MS" w:hAnsi="Trebuchet MS" w:cs="Trebuchet MS"/>
          <w:sz w:val="20"/>
          <w:lang w:val="nb-NO"/>
        </w:rPr>
        <w:t xml:space="preserve"> og tilsvarende</w:t>
      </w:r>
      <w:r>
        <w:rPr>
          <w:rFonts w:ascii="Trebuchet MS" w:hAnsi="Trebuchet MS" w:cs="Trebuchet MS"/>
          <w:sz w:val="20"/>
          <w:lang w:val="nb-NO"/>
        </w:rPr>
        <w:t xml:space="preserve"> for Holtålen 2.064/7.627</w:t>
      </w:r>
      <w:r w:rsidRPr="00F45223">
        <w:rPr>
          <w:rFonts w:ascii="Trebuchet MS" w:hAnsi="Trebuchet MS" w:cs="Trebuchet MS"/>
          <w:sz w:val="20"/>
          <w:lang w:val="nb-NO"/>
        </w:rPr>
        <w:t>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Budsjett for 2. halvår 50 % av årsbudsjett kreves inn med faktura 1. september</w:t>
      </w:r>
      <w:proofErr w:type="gramStart"/>
      <w:r w:rsidRPr="00F45223">
        <w:rPr>
          <w:rFonts w:ascii="Trebuchet MS" w:hAnsi="Trebuchet MS" w:cs="Trebuchet MS"/>
          <w:sz w:val="20"/>
          <w:lang w:val="nb-NO"/>
        </w:rPr>
        <w:t xml:space="preserve"> (betalingsfrist</w:t>
      </w:r>
      <w:proofErr w:type="gramEnd"/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1.oktober).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Årsavregning skal foreligge innen 5. februar. Vertskommunen skal utstede faktura eller kreditnota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innen 10. februar.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Kontrollrutiner og revisjon følger vertskommunenes rutiner.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i/>
          <w:iCs/>
          <w:sz w:val="18"/>
          <w:szCs w:val="18"/>
          <w:lang w:val="nb-NO"/>
        </w:rPr>
      </w:pPr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Merknad 1: IS-avtalen om Sosialtjenesten for </w:t>
      </w:r>
      <w:r>
        <w:rPr>
          <w:rFonts w:ascii="Trebuchet MS" w:hAnsi="Trebuchet MS" w:cs="Trebuchet MS"/>
          <w:sz w:val="18"/>
          <w:szCs w:val="18"/>
          <w:lang w:val="nb-NO"/>
        </w:rPr>
        <w:t>Røros og Holtålen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 detaljerer budsjettoppstillingen. Dette og</w:t>
      </w:r>
      <w:r>
        <w:rPr>
          <w:rFonts w:ascii="Trebuchet MS" w:hAnsi="Trebuchet MS" w:cs="Trebuchet MS"/>
          <w:sz w:val="18"/>
          <w:szCs w:val="18"/>
          <w:lang w:val="nb-NO"/>
        </w:rPr>
        <w:t xml:space="preserve"> 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>standardberegning kostnader (overheadkostnader, husleie mm) må gjennomgås samla under den planlagte</w:t>
      </w:r>
      <w:r>
        <w:rPr>
          <w:rFonts w:ascii="Trebuchet MS" w:hAnsi="Trebuchet MS" w:cs="Trebuchet MS"/>
          <w:sz w:val="18"/>
          <w:szCs w:val="18"/>
          <w:lang w:val="nb-NO"/>
        </w:rPr>
        <w:t xml:space="preserve"> </w:t>
      </w:r>
      <w:r w:rsidRPr="00F45223">
        <w:rPr>
          <w:rFonts w:ascii="Trebuchet MS" w:hAnsi="Trebuchet MS" w:cs="Trebuchet MS"/>
          <w:sz w:val="18"/>
          <w:szCs w:val="18"/>
          <w:lang w:val="nb-NO"/>
        </w:rPr>
        <w:t>generalgjennomgangen av de interkommunale samarbeider. De rammer som da fastsettes, gjøres gjeldende</w:t>
      </w:r>
      <w:r>
        <w:rPr>
          <w:rFonts w:ascii="Trebuchet MS" w:hAnsi="Trebuchet MS" w:cs="Trebuchet MS"/>
          <w:sz w:val="18"/>
          <w:szCs w:val="18"/>
          <w:lang w:val="nb-NO"/>
        </w:rPr>
        <w:t xml:space="preserve"> 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  <w:proofErr w:type="gramStart"/>
      <w:r w:rsidRPr="00F45223">
        <w:rPr>
          <w:rFonts w:ascii="Trebuchet MS" w:hAnsi="Trebuchet MS" w:cs="Trebuchet MS"/>
          <w:sz w:val="18"/>
          <w:szCs w:val="18"/>
          <w:lang w:val="nb-NO"/>
        </w:rPr>
        <w:t>for denne avtalen også.</w:t>
      </w:r>
      <w:proofErr w:type="gramEnd"/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  <w:r w:rsidRPr="00F45223">
        <w:rPr>
          <w:rFonts w:ascii="Trebuchet MS" w:hAnsi="Trebuchet MS" w:cs="Trebuchet MS"/>
          <w:sz w:val="18"/>
          <w:szCs w:val="18"/>
          <w:lang w:val="nb-NO"/>
        </w:rPr>
        <w:t>Merknad 2: Det er behov for å beskrive moms-behandling</w:t>
      </w:r>
      <w:proofErr w:type="gramStart"/>
      <w:r w:rsidRPr="00F45223">
        <w:rPr>
          <w:rFonts w:ascii="Trebuchet MS" w:hAnsi="Trebuchet MS" w:cs="Trebuchet MS"/>
          <w:sz w:val="18"/>
          <w:szCs w:val="18"/>
          <w:lang w:val="nb-NO"/>
        </w:rPr>
        <w:t xml:space="preserve"> (når og hvordan inkluderes moms i</w:t>
      </w:r>
      <w:proofErr w:type="gramEnd"/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  <w:r w:rsidRPr="00F45223">
        <w:rPr>
          <w:rFonts w:ascii="Trebuchet MS" w:hAnsi="Trebuchet MS" w:cs="Trebuchet MS"/>
          <w:sz w:val="18"/>
          <w:szCs w:val="18"/>
          <w:lang w:val="nb-NO"/>
        </w:rPr>
        <w:t>deltakerfakturering) for drift og for investeringer. Må være klart til avtalen skal signeres (ultimo april).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Pr="00055DFF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 w:rsidRPr="00055DFF">
        <w:rPr>
          <w:rFonts w:ascii="Trebuchet MS" w:hAnsi="Trebuchet MS" w:cs="Trebuchet MS"/>
          <w:b/>
          <w:bCs/>
          <w:sz w:val="22"/>
          <w:szCs w:val="22"/>
          <w:lang w:val="nb-NO"/>
        </w:rPr>
        <w:t>3. HMS</w:t>
      </w:r>
    </w:p>
    <w:p w:rsidR="00DC3210" w:rsidRPr="00055DFF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055DFF">
        <w:rPr>
          <w:rFonts w:ascii="Trebuchet MS" w:hAnsi="Trebuchet MS" w:cs="Trebuchet MS"/>
          <w:sz w:val="20"/>
          <w:lang w:val="nb-NO"/>
        </w:rPr>
        <w:t>NAV-kontoret har felles verneombud som dekker både statlige og kommunalt ansatte.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  <w:lang w:val="nb-NO"/>
        </w:rPr>
      </w:pPr>
      <w:r>
        <w:rPr>
          <w:rFonts w:ascii="Trebuchet MS" w:hAnsi="Trebuchet MS" w:cs="Trebuchet MS"/>
          <w:b/>
          <w:bCs/>
          <w:sz w:val="22"/>
          <w:szCs w:val="22"/>
          <w:lang w:val="nb-NO"/>
        </w:rPr>
        <w:t>4</w:t>
      </w:r>
      <w:r w:rsidRPr="00F45223">
        <w:rPr>
          <w:rFonts w:ascii="Trebuchet MS" w:hAnsi="Trebuchet MS" w:cs="Trebuchet MS"/>
          <w:b/>
          <w:bCs/>
          <w:sz w:val="22"/>
          <w:szCs w:val="22"/>
          <w:lang w:val="nb-NO"/>
        </w:rPr>
        <w:t>. Arkiv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Bestemmelsene i Arkivloven mm legges til grunn.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Saksarkiv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Alt arkivmateriale som har oppstått i samarbeidskommunen, forblir samarbeidskommunens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eiendom. Ved eventuelt senere behov for opplysninger fra disse sakene, oversendes kopier til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vertskommunen.</w:t>
      </w:r>
      <w:r>
        <w:rPr>
          <w:rFonts w:ascii="Trebuchet MS" w:hAnsi="Trebuchet MS" w:cs="Trebuchet MS"/>
          <w:sz w:val="20"/>
          <w:lang w:val="nb-NO"/>
        </w:rPr>
        <w:t xml:space="preserve"> 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Alt arkivmateriale som oppstår i vertskommunen er vertskommunens eiendom.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Alt arkivmateriale som oppstår i samarbeidskommunen er samarbeidskommunens eiendom.</w:t>
      </w: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Kommunene utveksler arkivmateriale hvis det er nødvendig for saksbehandlingen i den enkelte kommune.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Arkivmateriale som er nødvendig for den videre virksomheten, kopieres og overleveres til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vertskommunen ved overdragelsen. Dette materialet oppbevares i vertskommunen så lenge det er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behov for det i saksbehandlingen.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Alle henvendelser om innsyn i arkivmaterialet, må stiles til kommunen det har oppstått i.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Parter i en sak kan imidlertid få innsyn i sakens kopier som er overlevert fra samarbeidskommunen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til vertskommunen.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Objektarkiv (klientarkiv)</w:t>
      </w:r>
    </w:p>
    <w:p w:rsidR="009D191A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Objektarkiv overføres til verts</w:t>
      </w:r>
      <w:r w:rsidRPr="00F45223">
        <w:rPr>
          <w:rFonts w:ascii="Trebuchet MS" w:hAnsi="Trebuchet MS" w:cs="Trebuchet MS"/>
          <w:sz w:val="20"/>
          <w:lang w:val="nb-NO"/>
        </w:rPr>
        <w:t>kommunen.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="009D191A" w:rsidRPr="009D191A">
        <w:rPr>
          <w:rFonts w:ascii="Trebuchet MS" w:hAnsi="Trebuchet MS" w:cs="Trebuchet MS"/>
          <w:sz w:val="20"/>
          <w:lang w:val="nb-NO"/>
        </w:rPr>
        <w:t xml:space="preserve">Arkivet er en del av vertskommunens arkiv. Vertskommunen har ansvar for daglig- og bortsettingsarkiv. </w:t>
      </w:r>
    </w:p>
    <w:p w:rsidR="009D191A" w:rsidRDefault="009D191A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DC3210" w:rsidRDefault="009D191A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>
        <w:rPr>
          <w:rFonts w:ascii="Trebuchet MS" w:hAnsi="Trebuchet MS" w:cs="Trebuchet MS"/>
          <w:sz w:val="20"/>
          <w:lang w:val="nb-NO"/>
        </w:rPr>
        <w:t>IKA Trøndelag har</w:t>
      </w:r>
      <w:r w:rsidRPr="009D191A">
        <w:rPr>
          <w:rFonts w:ascii="Trebuchet MS" w:hAnsi="Trebuchet MS" w:cs="Trebuchet MS"/>
          <w:sz w:val="20"/>
          <w:lang w:val="nb-NO"/>
        </w:rPr>
        <w:t xml:space="preserve"> depot</w:t>
      </w:r>
      <w:r>
        <w:rPr>
          <w:rFonts w:ascii="Trebuchet MS" w:hAnsi="Trebuchet MS" w:cs="Trebuchet MS"/>
          <w:sz w:val="20"/>
          <w:lang w:val="nb-NO"/>
        </w:rPr>
        <w:t>ansvar/-funksjon</w:t>
      </w:r>
      <w:r w:rsidRPr="009D191A">
        <w:rPr>
          <w:rFonts w:ascii="Trebuchet MS" w:hAnsi="Trebuchet MS" w:cs="Trebuchet MS"/>
          <w:sz w:val="20"/>
          <w:lang w:val="nb-NO"/>
        </w:rPr>
        <w:t xml:space="preserve"> for vertskommunen</w:t>
      </w:r>
      <w:r>
        <w:rPr>
          <w:rFonts w:ascii="Trebuchet MS" w:hAnsi="Trebuchet MS" w:cs="Trebuchet MS"/>
          <w:sz w:val="20"/>
          <w:lang w:val="nb-NO"/>
        </w:rPr>
        <w:t>.</w:t>
      </w:r>
    </w:p>
    <w:p w:rsidR="009D191A" w:rsidRPr="009D191A" w:rsidRDefault="009D191A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</w:p>
    <w:p w:rsidR="009D191A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nb-NO"/>
        </w:rPr>
      </w:pPr>
      <w:r w:rsidRPr="00F45223">
        <w:rPr>
          <w:rFonts w:ascii="Trebuchet MS" w:hAnsi="Trebuchet MS" w:cs="Trebuchet MS"/>
          <w:b/>
          <w:bCs/>
          <w:sz w:val="20"/>
          <w:lang w:val="nb-NO"/>
        </w:rPr>
        <w:t>Opphør av samarbeidet</w:t>
      </w:r>
    </w:p>
    <w:p w:rsidR="00DC3210" w:rsidRPr="00F45223" w:rsidRDefault="00DC3210" w:rsidP="00DC3210">
      <w:pPr>
        <w:autoSpaceDE w:val="0"/>
        <w:autoSpaceDN w:val="0"/>
        <w:adjustRightInd w:val="0"/>
        <w:rPr>
          <w:rFonts w:ascii="Trebuchet MS" w:hAnsi="Trebuchet MS" w:cs="Trebuchet MS"/>
          <w:sz w:val="20"/>
          <w:lang w:val="nb-NO"/>
        </w:rPr>
      </w:pPr>
      <w:r w:rsidRPr="00F45223">
        <w:rPr>
          <w:rFonts w:ascii="Trebuchet MS" w:hAnsi="Trebuchet MS" w:cs="Trebuchet MS"/>
          <w:sz w:val="20"/>
          <w:lang w:val="nb-NO"/>
        </w:rPr>
        <w:t>Ved eventuell opphør av samarbeidet skjer prosessen tilsvarende som beskrevet ovenfor. Ved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eventuelt senere behov for opplysninger fra saker skapt i den tidligere vertskommunen, oversendes</w:t>
      </w:r>
      <w:r>
        <w:rPr>
          <w:rFonts w:ascii="Trebuchet MS" w:hAnsi="Trebuchet MS" w:cs="Trebuchet MS"/>
          <w:sz w:val="20"/>
          <w:lang w:val="nb-NO"/>
        </w:rPr>
        <w:t xml:space="preserve"> </w:t>
      </w:r>
      <w:r w:rsidRPr="00F45223">
        <w:rPr>
          <w:rFonts w:ascii="Trebuchet MS" w:hAnsi="Trebuchet MS" w:cs="Trebuchet MS"/>
          <w:sz w:val="20"/>
          <w:lang w:val="nb-NO"/>
        </w:rPr>
        <w:t>kopier til samarbeidskommunen.</w:t>
      </w:r>
    </w:p>
    <w:p w:rsidR="00DC3210" w:rsidRPr="00F45223" w:rsidRDefault="00DC3210" w:rsidP="00DC3210">
      <w:pPr>
        <w:rPr>
          <w:lang w:val="nb-NO"/>
        </w:rPr>
      </w:pPr>
    </w:p>
    <w:p w:rsidR="00DC3210" w:rsidRPr="00F45223" w:rsidRDefault="00DC3210" w:rsidP="00DC3210">
      <w:pPr>
        <w:rPr>
          <w:sz w:val="20"/>
          <w:lang w:val="nb-NO"/>
        </w:rPr>
      </w:pPr>
    </w:p>
    <w:p w:rsidR="00DC3210" w:rsidRPr="00DC3210" w:rsidRDefault="00DC3210">
      <w:pPr>
        <w:rPr>
          <w:lang w:val="nb-NO"/>
        </w:rPr>
      </w:pPr>
    </w:p>
    <w:sectPr w:rsidR="00DC3210" w:rsidRPr="00DC3210" w:rsidSect="00DC321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344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2B" w:rsidRDefault="0097532B">
      <w:r>
        <w:separator/>
      </w:r>
    </w:p>
  </w:endnote>
  <w:endnote w:type="continuationSeparator" w:id="0">
    <w:p w:rsidR="0097532B" w:rsidRDefault="00975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1A" w:rsidRDefault="009D191A">
    <w:pPr>
      <w:pStyle w:val="Bunntekst"/>
      <w:pBdr>
        <w:top w:val="single" w:sz="6" w:space="1" w:color="auto"/>
      </w:pBdr>
      <w:tabs>
        <w:tab w:val="right" w:pos="9072"/>
      </w:tabs>
      <w:ind w:right="-45"/>
      <w:rPr>
        <w:sz w:val="20"/>
      </w:rPr>
    </w:pPr>
    <w:r>
      <w:rPr>
        <w:sz w:val="20"/>
      </w:rPr>
      <w:t>Saksnr.:   09/869-5</w:t>
    </w:r>
    <w:r>
      <w:rPr>
        <w:sz w:val="22"/>
      </w:rPr>
      <w:tab/>
    </w:r>
    <w:r>
      <w:rPr>
        <w:sz w:val="22"/>
      </w:rPr>
      <w:tab/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 w:rsidR="0030686E"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9D191A" w:rsidRDefault="009D191A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630"/>
      <w:gridCol w:w="1275"/>
      <w:gridCol w:w="4820"/>
      <w:gridCol w:w="1417"/>
    </w:tblGrid>
    <w:tr w:rsidR="009D191A">
      <w:tblPrEx>
        <w:tblCellMar>
          <w:top w:w="0" w:type="dxa"/>
          <w:bottom w:w="0" w:type="dxa"/>
        </w:tblCellMar>
      </w:tblPrEx>
      <w:trPr>
        <w:cantSplit/>
      </w:trPr>
      <w:tc>
        <w:tcPr>
          <w:tcW w:w="1630" w:type="dxa"/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i/>
              <w:sz w:val="18"/>
            </w:rPr>
          </w:pPr>
          <w:r>
            <w:rPr>
              <w:i/>
              <w:sz w:val="18"/>
            </w:rPr>
            <w:t>Saksnr.</w:t>
          </w:r>
        </w:p>
      </w:tc>
      <w:tc>
        <w:tcPr>
          <w:tcW w:w="1275" w:type="dxa"/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i/>
              <w:sz w:val="18"/>
            </w:rPr>
          </w:pPr>
          <w:r>
            <w:rPr>
              <w:i/>
              <w:sz w:val="18"/>
            </w:rPr>
            <w:t xml:space="preserve"> L.nr.</w:t>
          </w:r>
        </w:p>
      </w:tc>
      <w:tc>
        <w:tcPr>
          <w:tcW w:w="4820" w:type="dxa"/>
        </w:tcPr>
        <w:p w:rsidR="009D191A" w:rsidRDefault="009D191A" w:rsidP="00DC3210">
          <w:pPr>
            <w:pStyle w:val="Enkeltlinje"/>
            <w:rPr>
              <w:i/>
              <w:sz w:val="18"/>
            </w:rPr>
          </w:pPr>
          <w:r>
            <w:rPr>
              <w:i/>
              <w:sz w:val="18"/>
            </w:rPr>
            <w:t>Arkivkode</w:t>
          </w:r>
        </w:p>
      </w:tc>
      <w:tc>
        <w:tcPr>
          <w:tcW w:w="1417" w:type="dxa"/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i/>
              <w:sz w:val="18"/>
            </w:rPr>
          </w:pPr>
          <w:r>
            <w:rPr>
              <w:i/>
              <w:sz w:val="18"/>
            </w:rPr>
            <w:t>Dato</w:t>
          </w:r>
        </w:p>
      </w:tc>
    </w:tr>
    <w:tr w:rsidR="009D191A">
      <w:tblPrEx>
        <w:tblCellMar>
          <w:top w:w="0" w:type="dxa"/>
          <w:bottom w:w="0" w:type="dxa"/>
        </w:tblCellMar>
      </w:tblPrEx>
      <w:trPr>
        <w:cantSplit/>
      </w:trPr>
      <w:tc>
        <w:tcPr>
          <w:tcW w:w="1630" w:type="dxa"/>
          <w:tcBorders>
            <w:bottom w:val="single" w:sz="6" w:space="0" w:color="auto"/>
          </w:tcBorders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sz w:val="18"/>
            </w:rPr>
          </w:pPr>
          <w:r>
            <w:rPr>
              <w:sz w:val="20"/>
            </w:rPr>
            <w:t>09/869-5</w:t>
          </w:r>
        </w:p>
      </w:tc>
      <w:tc>
        <w:tcPr>
          <w:tcW w:w="1275" w:type="dxa"/>
          <w:tcBorders>
            <w:bottom w:val="single" w:sz="6" w:space="0" w:color="auto"/>
          </w:tcBorders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sz w:val="18"/>
            </w:rPr>
          </w:pPr>
          <w:r>
            <w:rPr>
              <w:sz w:val="18"/>
            </w:rPr>
            <w:t>3520/09</w:t>
          </w:r>
        </w:p>
      </w:tc>
      <w:tc>
        <w:tcPr>
          <w:tcW w:w="4820" w:type="dxa"/>
          <w:tcBorders>
            <w:bottom w:val="single" w:sz="6" w:space="0" w:color="auto"/>
          </w:tcBorders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sz w:val="18"/>
            </w:rPr>
          </w:pPr>
          <w:r>
            <w:rPr>
              <w:sz w:val="20"/>
            </w:rPr>
            <w:t>026 &amp;10</w:t>
          </w:r>
        </w:p>
      </w:tc>
      <w:tc>
        <w:tcPr>
          <w:tcW w:w="1417" w:type="dxa"/>
          <w:tcBorders>
            <w:bottom w:val="single" w:sz="6" w:space="0" w:color="auto"/>
          </w:tcBorders>
        </w:tcPr>
        <w:p w:rsidR="009D191A" w:rsidRDefault="009D191A" w:rsidP="00DC3210">
          <w:pPr>
            <w:pStyle w:val="Enkeltlinje"/>
            <w:tabs>
              <w:tab w:val="clear" w:pos="1701"/>
              <w:tab w:val="clear" w:pos="5670"/>
              <w:tab w:val="clear" w:pos="7371"/>
            </w:tabs>
            <w:rPr>
              <w:sz w:val="18"/>
            </w:rPr>
          </w:pPr>
          <w:r>
            <w:rPr>
              <w:sz w:val="18"/>
            </w:rPr>
            <w:t>22.04.2009</w:t>
          </w:r>
        </w:p>
      </w:tc>
    </w:tr>
  </w:tbl>
  <w:p w:rsidR="009D191A" w:rsidRDefault="009D191A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2B" w:rsidRDefault="0097532B">
      <w:r>
        <w:separator/>
      </w:r>
    </w:p>
  </w:footnote>
  <w:footnote w:type="continuationSeparator" w:id="0">
    <w:p w:rsidR="0097532B" w:rsidRDefault="00975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1A" w:rsidRDefault="009D191A">
    <w:pPr>
      <w:spacing w:after="40"/>
      <w:rPr>
        <w:b/>
        <w:sz w:val="28"/>
      </w:rPr>
    </w:pPr>
    <w:r>
      <w:rPr>
        <w:b/>
        <w:caps/>
        <w:sz w:val="28"/>
      </w:rPr>
      <w:t>Røros kommune</w:t>
    </w:r>
  </w:p>
  <w:p w:rsidR="009D191A" w:rsidRDefault="009D191A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1A" w:rsidRDefault="009D191A">
    <w:pPr>
      <w:spacing w:after="40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3D8A"/>
    <w:multiLevelType w:val="hybridMultilevel"/>
    <w:tmpl w:val="18BA0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DA53E5"/>
    <w:multiLevelType w:val="hybridMultilevel"/>
    <w:tmpl w:val="7F1CD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66257F"/>
    <w:multiLevelType w:val="hybridMultilevel"/>
    <w:tmpl w:val="41EA0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2161A"/>
    <w:multiLevelType w:val="hybridMultilevel"/>
    <w:tmpl w:val="ACCA6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210"/>
    <w:rsid w:val="0030686E"/>
    <w:rsid w:val="008306E8"/>
    <w:rsid w:val="0097532B"/>
    <w:rsid w:val="009D191A"/>
    <w:rsid w:val="00A44984"/>
    <w:rsid w:val="00B826CB"/>
    <w:rsid w:val="00DC3210"/>
    <w:rsid w:val="00DE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210"/>
    <w:rPr>
      <w:sz w:val="24"/>
      <w:lang w:val="nn-NO"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Enkeltlinje">
    <w:name w:val="Enkeltlinje"/>
    <w:basedOn w:val="Normal"/>
    <w:rsid w:val="00DC3210"/>
    <w:pPr>
      <w:tabs>
        <w:tab w:val="left" w:pos="1701"/>
        <w:tab w:val="left" w:pos="5670"/>
        <w:tab w:val="left" w:pos="7371"/>
      </w:tabs>
    </w:pPr>
  </w:style>
  <w:style w:type="paragraph" w:styleId="Topptekst">
    <w:name w:val="header"/>
    <w:basedOn w:val="Normal"/>
    <w:rsid w:val="00DC3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C321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C3210"/>
  </w:style>
  <w:style w:type="table" w:styleId="Tabellrutenett">
    <w:name w:val="Table Grid"/>
    <w:basedOn w:val="Vanligtabell"/>
    <w:rsid w:val="00DC3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2951</Words>
  <Characters>15645</Characters>
  <Application>Microsoft Office Word</Application>
  <DocSecurity>0</DocSecurity>
  <Lines>130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AVTALE OM INTERKOMMUNALT SAMARBEID</vt:lpstr>
    </vt:vector>
  </TitlesOfParts>
  <Company>Infromatikk-nett AS</Company>
  <LinksUpToDate>false</LinksUpToDate>
  <CharactersWithSpaces>18559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INTERKOMMUNALT SAMARBEID</dc:title>
  <dc:subject/>
  <dc:creator>rofurjan</dc:creator>
  <cp:keywords/>
  <dc:description/>
  <cp:lastModifiedBy>Holtålen Kommune</cp:lastModifiedBy>
  <cp:revision>2</cp:revision>
  <dcterms:created xsi:type="dcterms:W3CDTF">2012-03-14T09:36:00Z</dcterms:created>
  <dcterms:modified xsi:type="dcterms:W3CDTF">2012-03-14T09:36:00Z</dcterms:modified>
</cp:coreProperties>
</file>