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C7" w:rsidRPr="00D841CD"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Pr="0092072A" w:rsidRDefault="00BC0DC7" w:rsidP="0075586C">
      <w:pPr>
        <w:pStyle w:val="Overskrift1"/>
        <w:rPr>
          <w:rFonts w:ascii="Verdana" w:hAnsi="Verdana"/>
          <w:color w:val="0000FF"/>
          <w:sz w:val="44"/>
        </w:rPr>
      </w:pPr>
      <w:r w:rsidRPr="0092072A">
        <w:rPr>
          <w:rFonts w:ascii="Verdana" w:hAnsi="Verdana"/>
          <w:color w:val="0000FF"/>
          <w:sz w:val="44"/>
        </w:rPr>
        <w:t>INNKJØPSREGLEMENT</w:t>
      </w:r>
    </w:p>
    <w:p w:rsidR="00BC0DC7" w:rsidRPr="0092072A" w:rsidRDefault="00BC0DC7" w:rsidP="0075586C">
      <w:pPr>
        <w:jc w:val="center"/>
        <w:rPr>
          <w:rFonts w:ascii="Verdana" w:hAnsi="Verdana"/>
          <w:b/>
          <w:color w:val="0000FF"/>
          <w:sz w:val="44"/>
        </w:rPr>
      </w:pPr>
      <w:r w:rsidRPr="0092072A">
        <w:rPr>
          <w:rFonts w:ascii="Verdana" w:hAnsi="Verdana"/>
          <w:b/>
          <w:color w:val="0000FF"/>
          <w:sz w:val="44"/>
        </w:rPr>
        <w:t>(Offentlige anskaffelser)</w:t>
      </w:r>
    </w:p>
    <w:p w:rsidR="00BC0DC7" w:rsidRPr="0092072A" w:rsidRDefault="00BC0DC7" w:rsidP="0075586C">
      <w:pPr>
        <w:jc w:val="center"/>
        <w:rPr>
          <w:rFonts w:ascii="Verdana" w:hAnsi="Verdana"/>
          <w:b/>
          <w:color w:val="0000FF"/>
          <w:sz w:val="44"/>
        </w:rPr>
      </w:pPr>
    </w:p>
    <w:p w:rsidR="00BC0DC7" w:rsidRPr="0092072A" w:rsidRDefault="00BC0DC7" w:rsidP="0075586C">
      <w:pPr>
        <w:jc w:val="center"/>
        <w:rPr>
          <w:rFonts w:ascii="Verdana" w:hAnsi="Verdana"/>
          <w:b/>
          <w:color w:val="0000FF"/>
          <w:sz w:val="44"/>
        </w:rPr>
      </w:pPr>
      <w:r w:rsidRPr="0092072A">
        <w:rPr>
          <w:rFonts w:ascii="Verdana" w:hAnsi="Verdana"/>
          <w:b/>
          <w:color w:val="0000FF"/>
          <w:sz w:val="44"/>
        </w:rPr>
        <w:t>for</w:t>
      </w:r>
    </w:p>
    <w:p w:rsidR="00BC0DC7" w:rsidRDefault="00BC0DC7" w:rsidP="0075586C">
      <w:pPr>
        <w:jc w:val="center"/>
        <w:rPr>
          <w:rFonts w:ascii="Verdana" w:hAnsi="Verdana"/>
          <w:b/>
          <w:sz w:val="22"/>
        </w:rPr>
      </w:pPr>
    </w:p>
    <w:p w:rsidR="00BC0DC7"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tbl>
      <w:tblPr>
        <w:tblW w:w="4392" w:type="dxa"/>
        <w:tblInd w:w="2212" w:type="dxa"/>
        <w:tblCellMar>
          <w:left w:w="70" w:type="dxa"/>
          <w:right w:w="70" w:type="dxa"/>
        </w:tblCellMar>
        <w:tblLook w:val="0000"/>
      </w:tblPr>
      <w:tblGrid>
        <w:gridCol w:w="1464"/>
        <w:gridCol w:w="1464"/>
        <w:gridCol w:w="1464"/>
      </w:tblGrid>
      <w:tr w:rsidR="00BC0DC7" w:rsidTr="0075586C">
        <w:tc>
          <w:tcPr>
            <w:tcW w:w="0" w:type="auto"/>
          </w:tcPr>
          <w:p w:rsidR="00BC0DC7" w:rsidRDefault="00BC0DC7" w:rsidP="0075586C">
            <w:pPr>
              <w:jc w:val="center"/>
              <w:rPr>
                <w:rFonts w:ascii="Arial" w:hAnsi="Arial" w:cs="Arial"/>
                <w:sz w:val="28"/>
                <w:szCs w:val="28"/>
              </w:rPr>
            </w:pPr>
          </w:p>
        </w:tc>
        <w:tc>
          <w:tcPr>
            <w:tcW w:w="0" w:type="auto"/>
          </w:tcPr>
          <w:p w:rsidR="00BC0DC7" w:rsidRDefault="00BC0DC7" w:rsidP="0075586C">
            <w:pPr>
              <w:jc w:val="center"/>
              <w:rPr>
                <w:rFonts w:ascii="Arial" w:hAnsi="Arial" w:cs="Arial"/>
                <w:sz w:val="28"/>
                <w:szCs w:val="28"/>
              </w:rPr>
            </w:pPr>
          </w:p>
        </w:tc>
        <w:tc>
          <w:tcPr>
            <w:tcW w:w="0" w:type="auto"/>
          </w:tcPr>
          <w:p w:rsidR="00BC0DC7" w:rsidRDefault="00BC0DC7" w:rsidP="0075586C">
            <w:pPr>
              <w:jc w:val="center"/>
              <w:rPr>
                <w:rFonts w:ascii="Arial" w:hAnsi="Arial" w:cs="Arial"/>
                <w:sz w:val="28"/>
                <w:szCs w:val="28"/>
              </w:rPr>
            </w:pPr>
          </w:p>
        </w:tc>
      </w:tr>
      <w:tr w:rsidR="00BC0DC7" w:rsidTr="0075586C">
        <w:trPr>
          <w:trHeight w:hRule="exact" w:val="189"/>
        </w:trPr>
        <w:tc>
          <w:tcPr>
            <w:tcW w:w="0" w:type="auto"/>
          </w:tcPr>
          <w:p w:rsidR="00BC0DC7" w:rsidRDefault="00BC0DC7" w:rsidP="0075586C">
            <w:pPr>
              <w:jc w:val="center"/>
              <w:rPr>
                <w:rFonts w:ascii="Arial" w:hAnsi="Arial" w:cs="Arial"/>
                <w:sz w:val="28"/>
                <w:szCs w:val="28"/>
              </w:rPr>
            </w:pPr>
          </w:p>
        </w:tc>
        <w:tc>
          <w:tcPr>
            <w:tcW w:w="0" w:type="auto"/>
          </w:tcPr>
          <w:p w:rsidR="00BC0DC7" w:rsidRDefault="00BC0DC7" w:rsidP="0075586C">
            <w:pPr>
              <w:jc w:val="center"/>
              <w:rPr>
                <w:rFonts w:ascii="Arial" w:hAnsi="Arial" w:cs="Arial"/>
                <w:sz w:val="28"/>
                <w:szCs w:val="28"/>
              </w:rPr>
            </w:pPr>
          </w:p>
        </w:tc>
        <w:tc>
          <w:tcPr>
            <w:tcW w:w="0" w:type="auto"/>
          </w:tcPr>
          <w:p w:rsidR="00BC0DC7" w:rsidRDefault="00BC0DC7" w:rsidP="0075586C">
            <w:pPr>
              <w:jc w:val="center"/>
              <w:rPr>
                <w:rFonts w:ascii="Arial" w:hAnsi="Arial" w:cs="Arial"/>
                <w:sz w:val="28"/>
                <w:szCs w:val="28"/>
              </w:rPr>
            </w:pPr>
          </w:p>
        </w:tc>
      </w:tr>
    </w:tbl>
    <w:p w:rsidR="00BC0DC7" w:rsidRPr="00D841CD" w:rsidRDefault="00BC0DC7" w:rsidP="0075586C">
      <w:pPr>
        <w:jc w:val="center"/>
        <w:rPr>
          <w:rFonts w:ascii="Verdana" w:hAnsi="Verdana"/>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5"/>
        <w:gridCol w:w="1535"/>
        <w:gridCol w:w="1535"/>
        <w:gridCol w:w="1535"/>
        <w:gridCol w:w="1535"/>
        <w:gridCol w:w="1536"/>
      </w:tblGrid>
      <w:tr w:rsidR="00BC0DC7" w:rsidRPr="00421FF5" w:rsidTr="0075586C">
        <w:tc>
          <w:tcPr>
            <w:tcW w:w="1535" w:type="dxa"/>
          </w:tcPr>
          <w:p w:rsidR="00BC0DC7" w:rsidRPr="00421FF5" w:rsidRDefault="00DD6614" w:rsidP="0075586C">
            <w:pPr>
              <w:jc w:val="center"/>
              <w:rPr>
                <w:rFonts w:ascii="Verdana" w:hAnsi="Verdana"/>
                <w:b/>
                <w:sz w:val="22"/>
              </w:rPr>
            </w:pPr>
            <w:r>
              <w:rPr>
                <w:rFonts w:ascii="Arial" w:hAnsi="Arial" w:cs="Arial"/>
                <w:noProof/>
                <w:sz w:val="28"/>
                <w:szCs w:val="28"/>
              </w:rPr>
              <w:drawing>
                <wp:inline distT="0" distB="0" distL="0" distR="0">
                  <wp:extent cx="800100" cy="1000125"/>
                  <wp:effectExtent l="19050" t="0" r="0" b="0"/>
                  <wp:docPr id="1" name="Bilde 1" descr="Alv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Alvdal"/>
                          <pic:cNvPicPr>
                            <a:picLocks noChangeAspect="1" noChangeArrowheads="1"/>
                          </pic:cNvPicPr>
                        </pic:nvPicPr>
                        <pic:blipFill>
                          <a:blip r:embed="rId7"/>
                          <a:srcRect/>
                          <a:stretch>
                            <a:fillRect/>
                          </a:stretch>
                        </pic:blipFill>
                        <pic:spPr bwMode="auto">
                          <a:xfrm>
                            <a:off x="0" y="0"/>
                            <a:ext cx="800100" cy="1000125"/>
                          </a:xfrm>
                          <a:prstGeom prst="rect">
                            <a:avLst/>
                          </a:prstGeom>
                          <a:noFill/>
                          <a:ln w="9525">
                            <a:noFill/>
                            <a:miter lim="800000"/>
                            <a:headEnd/>
                            <a:tailEnd/>
                          </a:ln>
                        </pic:spPr>
                      </pic:pic>
                    </a:graphicData>
                  </a:graphic>
                </wp:inline>
              </w:drawing>
            </w:r>
          </w:p>
        </w:tc>
        <w:tc>
          <w:tcPr>
            <w:tcW w:w="1535" w:type="dxa"/>
          </w:tcPr>
          <w:p w:rsidR="00BC0DC7" w:rsidRPr="00421FF5" w:rsidRDefault="00DD6614" w:rsidP="0075586C">
            <w:pPr>
              <w:jc w:val="center"/>
              <w:rPr>
                <w:rFonts w:ascii="Verdana" w:hAnsi="Verdana"/>
                <w:b/>
                <w:sz w:val="22"/>
              </w:rPr>
            </w:pPr>
            <w:r>
              <w:rPr>
                <w:rFonts w:ascii="Verdana" w:hAnsi="Verdana"/>
                <w:b/>
                <w:noProof/>
                <w:sz w:val="22"/>
              </w:rPr>
              <w:drawing>
                <wp:inline distT="0" distB="0" distL="0" distR="0">
                  <wp:extent cx="742950" cy="942975"/>
                  <wp:effectExtent l="19050" t="0" r="0" b="0"/>
                  <wp:docPr id="2" name="Bilde 2" descr="Foll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Folldal"/>
                          <pic:cNvPicPr>
                            <a:picLocks noChangeAspect="1" noChangeArrowheads="1"/>
                          </pic:cNvPicPr>
                        </pic:nvPicPr>
                        <pic:blipFill>
                          <a:blip r:embed="rId8"/>
                          <a:srcRect/>
                          <a:stretch>
                            <a:fillRect/>
                          </a:stretch>
                        </pic:blipFill>
                        <pic:spPr bwMode="auto">
                          <a:xfrm>
                            <a:off x="0" y="0"/>
                            <a:ext cx="742950" cy="942975"/>
                          </a:xfrm>
                          <a:prstGeom prst="rect">
                            <a:avLst/>
                          </a:prstGeom>
                          <a:noFill/>
                          <a:ln w="9525">
                            <a:noFill/>
                            <a:miter lim="800000"/>
                            <a:headEnd/>
                            <a:tailEnd/>
                          </a:ln>
                        </pic:spPr>
                      </pic:pic>
                    </a:graphicData>
                  </a:graphic>
                </wp:inline>
              </w:drawing>
            </w:r>
          </w:p>
        </w:tc>
        <w:tc>
          <w:tcPr>
            <w:tcW w:w="1535" w:type="dxa"/>
          </w:tcPr>
          <w:p w:rsidR="00BC0DC7" w:rsidRPr="00421FF5" w:rsidRDefault="00DD6614" w:rsidP="0075586C">
            <w:pPr>
              <w:jc w:val="center"/>
              <w:rPr>
                <w:rFonts w:ascii="Verdana" w:hAnsi="Verdana"/>
                <w:b/>
                <w:sz w:val="22"/>
              </w:rPr>
            </w:pPr>
            <w:r>
              <w:rPr>
                <w:rFonts w:ascii="Verdana" w:hAnsi="Verdana"/>
                <w:b/>
                <w:noProof/>
                <w:sz w:val="22"/>
              </w:rPr>
              <w:drawing>
                <wp:inline distT="0" distB="0" distL="0" distR="0">
                  <wp:extent cx="742950" cy="942975"/>
                  <wp:effectExtent l="19050" t="0" r="0" b="0"/>
                  <wp:docPr id="3" name="Bilde 3" des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Os"/>
                          <pic:cNvPicPr>
                            <a:picLocks noChangeAspect="1" noChangeArrowheads="1"/>
                          </pic:cNvPicPr>
                        </pic:nvPicPr>
                        <pic:blipFill>
                          <a:blip r:embed="rId9"/>
                          <a:srcRect/>
                          <a:stretch>
                            <a:fillRect/>
                          </a:stretch>
                        </pic:blipFill>
                        <pic:spPr bwMode="auto">
                          <a:xfrm>
                            <a:off x="0" y="0"/>
                            <a:ext cx="742950" cy="942975"/>
                          </a:xfrm>
                          <a:prstGeom prst="rect">
                            <a:avLst/>
                          </a:prstGeom>
                          <a:noFill/>
                          <a:ln w="9525">
                            <a:noFill/>
                            <a:miter lim="800000"/>
                            <a:headEnd/>
                            <a:tailEnd/>
                          </a:ln>
                        </pic:spPr>
                      </pic:pic>
                    </a:graphicData>
                  </a:graphic>
                </wp:inline>
              </w:drawing>
            </w:r>
          </w:p>
        </w:tc>
        <w:tc>
          <w:tcPr>
            <w:tcW w:w="1535" w:type="dxa"/>
          </w:tcPr>
          <w:p w:rsidR="00BC0DC7" w:rsidRPr="00421FF5" w:rsidRDefault="00DD6614" w:rsidP="0075586C">
            <w:pPr>
              <w:jc w:val="center"/>
              <w:rPr>
                <w:rFonts w:ascii="Verdana" w:hAnsi="Verdana"/>
                <w:b/>
                <w:sz w:val="22"/>
              </w:rPr>
            </w:pPr>
            <w:r>
              <w:rPr>
                <w:rFonts w:ascii="Verdana" w:hAnsi="Verdana"/>
                <w:b/>
                <w:noProof/>
                <w:sz w:val="22"/>
              </w:rPr>
              <w:drawing>
                <wp:inline distT="0" distB="0" distL="0" distR="0">
                  <wp:extent cx="742950" cy="942975"/>
                  <wp:effectExtent l="19050" t="0" r="0" b="0"/>
                  <wp:docPr id="4" name="Bilde 4" descr="Rend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Rendalen"/>
                          <pic:cNvPicPr>
                            <a:picLocks noChangeAspect="1" noChangeArrowheads="1"/>
                          </pic:cNvPicPr>
                        </pic:nvPicPr>
                        <pic:blipFill>
                          <a:blip r:embed="rId10"/>
                          <a:srcRect/>
                          <a:stretch>
                            <a:fillRect/>
                          </a:stretch>
                        </pic:blipFill>
                        <pic:spPr bwMode="auto">
                          <a:xfrm>
                            <a:off x="0" y="0"/>
                            <a:ext cx="742950" cy="942975"/>
                          </a:xfrm>
                          <a:prstGeom prst="rect">
                            <a:avLst/>
                          </a:prstGeom>
                          <a:noFill/>
                          <a:ln w="9525">
                            <a:noFill/>
                            <a:miter lim="800000"/>
                            <a:headEnd/>
                            <a:tailEnd/>
                          </a:ln>
                        </pic:spPr>
                      </pic:pic>
                    </a:graphicData>
                  </a:graphic>
                </wp:inline>
              </w:drawing>
            </w:r>
          </w:p>
        </w:tc>
        <w:tc>
          <w:tcPr>
            <w:tcW w:w="1535" w:type="dxa"/>
          </w:tcPr>
          <w:p w:rsidR="00BC0DC7" w:rsidRPr="00421FF5" w:rsidRDefault="00DD6614" w:rsidP="0075586C">
            <w:pPr>
              <w:jc w:val="center"/>
              <w:rPr>
                <w:rFonts w:ascii="Verdana" w:hAnsi="Verdana"/>
                <w:b/>
                <w:sz w:val="22"/>
              </w:rPr>
            </w:pPr>
            <w:r>
              <w:rPr>
                <w:rFonts w:ascii="Verdana" w:hAnsi="Verdana"/>
                <w:b/>
                <w:noProof/>
                <w:sz w:val="22"/>
              </w:rPr>
              <w:drawing>
                <wp:inline distT="0" distB="0" distL="0" distR="0">
                  <wp:extent cx="742950" cy="942975"/>
                  <wp:effectExtent l="19050" t="0" r="0" b="0"/>
                  <wp:docPr id="5" name="Bilde 5" descr="To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Tolga"/>
                          <pic:cNvPicPr>
                            <a:picLocks noChangeAspect="1" noChangeArrowheads="1"/>
                          </pic:cNvPicPr>
                        </pic:nvPicPr>
                        <pic:blipFill>
                          <a:blip r:embed="rId11"/>
                          <a:srcRect/>
                          <a:stretch>
                            <a:fillRect/>
                          </a:stretch>
                        </pic:blipFill>
                        <pic:spPr bwMode="auto">
                          <a:xfrm>
                            <a:off x="0" y="0"/>
                            <a:ext cx="742950" cy="942975"/>
                          </a:xfrm>
                          <a:prstGeom prst="rect">
                            <a:avLst/>
                          </a:prstGeom>
                          <a:noFill/>
                          <a:ln w="9525">
                            <a:noFill/>
                            <a:miter lim="800000"/>
                            <a:headEnd/>
                            <a:tailEnd/>
                          </a:ln>
                        </pic:spPr>
                      </pic:pic>
                    </a:graphicData>
                  </a:graphic>
                </wp:inline>
              </w:drawing>
            </w:r>
          </w:p>
        </w:tc>
        <w:tc>
          <w:tcPr>
            <w:tcW w:w="1536" w:type="dxa"/>
          </w:tcPr>
          <w:p w:rsidR="00BC0DC7" w:rsidRPr="00421FF5" w:rsidRDefault="00DD6614" w:rsidP="0075586C">
            <w:pPr>
              <w:jc w:val="center"/>
              <w:rPr>
                <w:rFonts w:ascii="Verdana" w:hAnsi="Verdana"/>
                <w:b/>
                <w:sz w:val="22"/>
              </w:rPr>
            </w:pPr>
            <w:r>
              <w:rPr>
                <w:rFonts w:ascii="Verdana" w:hAnsi="Verdana"/>
                <w:b/>
                <w:noProof/>
                <w:sz w:val="22"/>
              </w:rPr>
              <w:drawing>
                <wp:inline distT="0" distB="0" distL="0" distR="0">
                  <wp:extent cx="742950" cy="942975"/>
                  <wp:effectExtent l="19050" t="0" r="0" b="0"/>
                  <wp:docPr id="6" name="Bilde 6" descr="Ty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Tynset"/>
                          <pic:cNvPicPr>
                            <a:picLocks noChangeAspect="1" noChangeArrowheads="1"/>
                          </pic:cNvPicPr>
                        </pic:nvPicPr>
                        <pic:blipFill>
                          <a:blip r:embed="rId12"/>
                          <a:srcRect/>
                          <a:stretch>
                            <a:fillRect/>
                          </a:stretch>
                        </pic:blipFill>
                        <pic:spPr bwMode="auto">
                          <a:xfrm>
                            <a:off x="0" y="0"/>
                            <a:ext cx="742950" cy="942975"/>
                          </a:xfrm>
                          <a:prstGeom prst="rect">
                            <a:avLst/>
                          </a:prstGeom>
                          <a:noFill/>
                          <a:ln w="9525">
                            <a:noFill/>
                            <a:miter lim="800000"/>
                            <a:headEnd/>
                            <a:tailEnd/>
                          </a:ln>
                        </pic:spPr>
                      </pic:pic>
                    </a:graphicData>
                  </a:graphic>
                </wp:inline>
              </w:drawing>
            </w:r>
          </w:p>
        </w:tc>
      </w:tr>
      <w:tr w:rsidR="00BC0DC7" w:rsidRPr="00421FF5" w:rsidTr="0075586C">
        <w:tc>
          <w:tcPr>
            <w:tcW w:w="1535" w:type="dxa"/>
          </w:tcPr>
          <w:p w:rsidR="00BC0DC7" w:rsidRPr="00421FF5" w:rsidRDefault="00BC0DC7" w:rsidP="0075586C">
            <w:pPr>
              <w:jc w:val="center"/>
              <w:rPr>
                <w:rFonts w:ascii="Verdana" w:hAnsi="Verdana"/>
                <w:b/>
                <w:sz w:val="22"/>
              </w:rPr>
            </w:pPr>
            <w:r w:rsidRPr="00421FF5">
              <w:rPr>
                <w:rFonts w:ascii="Verdana" w:hAnsi="Verdana"/>
                <w:b/>
                <w:sz w:val="22"/>
              </w:rPr>
              <w:t>Alvdal</w:t>
            </w:r>
          </w:p>
        </w:tc>
        <w:tc>
          <w:tcPr>
            <w:tcW w:w="1535" w:type="dxa"/>
          </w:tcPr>
          <w:p w:rsidR="00BC0DC7" w:rsidRPr="00421FF5" w:rsidRDefault="00BC0DC7" w:rsidP="0075586C">
            <w:pPr>
              <w:jc w:val="center"/>
              <w:rPr>
                <w:rFonts w:ascii="Verdana" w:hAnsi="Verdana"/>
                <w:b/>
                <w:sz w:val="22"/>
              </w:rPr>
            </w:pPr>
            <w:r w:rsidRPr="00421FF5">
              <w:rPr>
                <w:rFonts w:ascii="Verdana" w:hAnsi="Verdana"/>
                <w:b/>
                <w:sz w:val="22"/>
              </w:rPr>
              <w:t>Folldal</w:t>
            </w:r>
          </w:p>
        </w:tc>
        <w:tc>
          <w:tcPr>
            <w:tcW w:w="1535" w:type="dxa"/>
          </w:tcPr>
          <w:p w:rsidR="00BC0DC7" w:rsidRPr="00421FF5" w:rsidRDefault="00BC0DC7" w:rsidP="0075586C">
            <w:pPr>
              <w:jc w:val="center"/>
              <w:rPr>
                <w:rFonts w:ascii="Verdana" w:hAnsi="Verdana"/>
                <w:b/>
                <w:sz w:val="22"/>
              </w:rPr>
            </w:pPr>
            <w:r w:rsidRPr="00421FF5">
              <w:rPr>
                <w:rFonts w:ascii="Verdana" w:hAnsi="Verdana"/>
                <w:b/>
                <w:sz w:val="22"/>
              </w:rPr>
              <w:t>Os</w:t>
            </w:r>
          </w:p>
        </w:tc>
        <w:tc>
          <w:tcPr>
            <w:tcW w:w="1535" w:type="dxa"/>
          </w:tcPr>
          <w:p w:rsidR="00BC0DC7" w:rsidRPr="00421FF5" w:rsidRDefault="00BC0DC7" w:rsidP="0075586C">
            <w:pPr>
              <w:jc w:val="center"/>
              <w:rPr>
                <w:rFonts w:ascii="Verdana" w:hAnsi="Verdana"/>
                <w:b/>
                <w:sz w:val="22"/>
              </w:rPr>
            </w:pPr>
            <w:r w:rsidRPr="00421FF5">
              <w:rPr>
                <w:rFonts w:ascii="Verdana" w:hAnsi="Verdana"/>
                <w:b/>
                <w:sz w:val="22"/>
              </w:rPr>
              <w:t>Rendalen</w:t>
            </w:r>
          </w:p>
        </w:tc>
        <w:tc>
          <w:tcPr>
            <w:tcW w:w="1535" w:type="dxa"/>
          </w:tcPr>
          <w:p w:rsidR="00BC0DC7" w:rsidRPr="00421FF5" w:rsidRDefault="00BC0DC7" w:rsidP="0075586C">
            <w:pPr>
              <w:jc w:val="center"/>
              <w:rPr>
                <w:rFonts w:ascii="Verdana" w:hAnsi="Verdana"/>
                <w:b/>
                <w:sz w:val="22"/>
              </w:rPr>
            </w:pPr>
            <w:r w:rsidRPr="00421FF5">
              <w:rPr>
                <w:rFonts w:ascii="Verdana" w:hAnsi="Verdana"/>
                <w:b/>
                <w:sz w:val="22"/>
              </w:rPr>
              <w:t>Tolga</w:t>
            </w:r>
          </w:p>
        </w:tc>
        <w:tc>
          <w:tcPr>
            <w:tcW w:w="1536" w:type="dxa"/>
          </w:tcPr>
          <w:p w:rsidR="00BC0DC7" w:rsidRPr="00421FF5" w:rsidRDefault="00BC0DC7" w:rsidP="0075586C">
            <w:pPr>
              <w:jc w:val="center"/>
              <w:rPr>
                <w:rFonts w:ascii="Verdana" w:hAnsi="Verdana"/>
                <w:b/>
                <w:sz w:val="22"/>
              </w:rPr>
            </w:pPr>
            <w:r w:rsidRPr="00421FF5">
              <w:rPr>
                <w:rFonts w:ascii="Verdana" w:hAnsi="Verdana"/>
                <w:b/>
                <w:sz w:val="22"/>
              </w:rPr>
              <w:t>Tynset</w:t>
            </w:r>
          </w:p>
        </w:tc>
      </w:tr>
      <w:tr w:rsidR="00BC0DC7" w:rsidRPr="00421FF5" w:rsidTr="0075586C">
        <w:tc>
          <w:tcPr>
            <w:tcW w:w="9211" w:type="dxa"/>
            <w:gridSpan w:val="6"/>
          </w:tcPr>
          <w:p w:rsidR="00BC0DC7" w:rsidRPr="00421FF5" w:rsidRDefault="00BC0DC7" w:rsidP="0075586C">
            <w:pPr>
              <w:jc w:val="center"/>
              <w:rPr>
                <w:rFonts w:ascii="Verdana" w:hAnsi="Verdana"/>
                <w:b/>
                <w:sz w:val="22"/>
              </w:rPr>
            </w:pPr>
            <w:r w:rsidRPr="00421FF5">
              <w:rPr>
                <w:rFonts w:ascii="Verdana" w:hAnsi="Verdana"/>
                <w:b/>
                <w:sz w:val="22"/>
              </w:rPr>
              <w:t>kommuner</w:t>
            </w:r>
          </w:p>
        </w:tc>
      </w:tr>
    </w:tbl>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jc w:val="cente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jc w:val="center"/>
        <w:rPr>
          <w:rFonts w:ascii="Verdana" w:hAnsi="Verdana"/>
          <w:i/>
          <w:sz w:val="22"/>
        </w:rPr>
      </w:pPr>
    </w:p>
    <w:p w:rsidR="00BC0DC7" w:rsidRPr="00D841CD" w:rsidRDefault="00BC0DC7" w:rsidP="0075586C">
      <w:pPr>
        <w:jc w:val="center"/>
        <w:rPr>
          <w:rFonts w:ascii="Verdana" w:hAnsi="Verdana"/>
          <w:i/>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D841CD" w:rsidRDefault="00BC0DC7" w:rsidP="0075586C">
      <w:pPr>
        <w:rPr>
          <w:rFonts w:ascii="Verdana" w:hAnsi="Verdana"/>
          <w:b/>
          <w:sz w:val="22"/>
        </w:rPr>
      </w:pPr>
    </w:p>
    <w:p w:rsidR="00BC0DC7" w:rsidRPr="0052687C" w:rsidRDefault="00BC0DC7" w:rsidP="0075586C">
      <w:pPr>
        <w:rPr>
          <w:rFonts w:ascii="Verdana" w:hAnsi="Verdana"/>
          <w:b/>
          <w:sz w:val="22"/>
        </w:rPr>
      </w:pPr>
      <w:r w:rsidRPr="0052687C">
        <w:rPr>
          <w:rFonts w:ascii="Verdana" w:hAnsi="Verdana"/>
          <w:b/>
          <w:sz w:val="22"/>
        </w:rPr>
        <w:lastRenderedPageBreak/>
        <w:t>Innledning.</w:t>
      </w:r>
    </w:p>
    <w:p w:rsidR="00BC0DC7" w:rsidRPr="009B4390" w:rsidRDefault="00BC0DC7" w:rsidP="0075586C">
      <w:pPr>
        <w:ind w:left="705"/>
        <w:rPr>
          <w:rFonts w:ascii="Verdana" w:hAnsi="Verdana"/>
          <w:sz w:val="22"/>
          <w:szCs w:val="22"/>
        </w:rPr>
      </w:pPr>
      <w:r w:rsidRPr="009B4390">
        <w:rPr>
          <w:rFonts w:ascii="Verdana" w:hAnsi="Verdana"/>
          <w:sz w:val="22"/>
          <w:szCs w:val="22"/>
        </w:rPr>
        <w:t>Reglementet er utarbeidet med utgangspunkt i LOV</w:t>
      </w:r>
      <w:r w:rsidRPr="009B4390">
        <w:rPr>
          <w:rFonts w:ascii="Arial" w:hAnsi="Arial" w:cs="Arial"/>
        </w:rPr>
        <w:t xml:space="preserve">-1999-07-16-69 - </w:t>
      </w:r>
      <w:r w:rsidRPr="009B4390">
        <w:rPr>
          <w:rFonts w:ascii="Verdana" w:hAnsi="Verdana" w:cs="Arial"/>
          <w:sz w:val="22"/>
          <w:szCs w:val="22"/>
        </w:rPr>
        <w:t>Lov om offentlige anskaffelser</w:t>
      </w:r>
      <w:r w:rsidRPr="009B4390">
        <w:rPr>
          <w:rFonts w:ascii="Arial" w:hAnsi="Arial" w:cs="Arial"/>
        </w:rPr>
        <w:t xml:space="preserve"> (LOA) </w:t>
      </w:r>
      <w:r w:rsidRPr="009B4390">
        <w:rPr>
          <w:rFonts w:ascii="Verdana" w:hAnsi="Verdana"/>
          <w:sz w:val="22"/>
        </w:rPr>
        <w:t xml:space="preserve">med senere endringer og tilhørende forskifter – </w:t>
      </w:r>
      <w:r w:rsidRPr="009B4390">
        <w:rPr>
          <w:rFonts w:ascii="Arial" w:hAnsi="Arial" w:cs="Arial"/>
        </w:rPr>
        <w:t xml:space="preserve">FOR-2006-04-07-402 - </w:t>
      </w:r>
      <w:r w:rsidRPr="009B4390">
        <w:rPr>
          <w:rFonts w:ascii="Verdana" w:hAnsi="Verdana"/>
          <w:sz w:val="22"/>
        </w:rPr>
        <w:t>Forskrift om offentlige anskaffelser (FOA). Reglementet gjelder for alle anskaffelser i kommunene som inngår i innkjøps-samarbeidet i Nord-Østerdal.</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Mål og strategi for innkjøpsarbeidet</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1.</w:t>
      </w:r>
      <w:r w:rsidRPr="009B4390">
        <w:rPr>
          <w:rFonts w:ascii="Verdana" w:hAnsi="Verdana"/>
          <w:b/>
          <w:sz w:val="22"/>
        </w:rPr>
        <w:tab/>
        <w:t>Mål for anskaffelsesarbeidet.</w:t>
      </w:r>
    </w:p>
    <w:p w:rsidR="00BC0DC7" w:rsidRPr="009B4390" w:rsidRDefault="00BC0DC7" w:rsidP="0075586C">
      <w:pPr>
        <w:ind w:left="708" w:hanging="708"/>
        <w:rPr>
          <w:rFonts w:ascii="Verdana" w:hAnsi="Verdana"/>
          <w:sz w:val="22"/>
        </w:rPr>
      </w:pPr>
      <w:r w:rsidRPr="009B4390">
        <w:rPr>
          <w:rFonts w:ascii="Verdana" w:hAnsi="Verdana"/>
          <w:sz w:val="22"/>
        </w:rPr>
        <w:tab/>
        <w:t>Målet for kommunens anskaffelsesarbeide er å anskaffe og forvalte de varer og tjenester det er behov for på en måte som fører til mest mulig effektiv ressursutnyttelse for hele kommunen. Anskaffelsene skal skje innenfor det etablerte anskaffelsesregelverket og innenfor det etablerte regelverket for samfunnsansvar som omfatter miljøkrav og etikk.</w:t>
      </w:r>
    </w:p>
    <w:p w:rsidR="00BC0DC7" w:rsidRPr="009B4390" w:rsidRDefault="00BC0DC7" w:rsidP="0075586C">
      <w:pPr>
        <w:rPr>
          <w:rFonts w:ascii="Verdana" w:hAnsi="Verdana"/>
          <w:sz w:val="22"/>
        </w:rPr>
      </w:pPr>
    </w:p>
    <w:p w:rsidR="00BC0DC7" w:rsidRPr="009B4390" w:rsidRDefault="00BC0DC7" w:rsidP="00EB146E">
      <w:pPr>
        <w:numPr>
          <w:ilvl w:val="0"/>
          <w:numId w:val="11"/>
        </w:numPr>
        <w:rPr>
          <w:rFonts w:ascii="Verdana" w:hAnsi="Verdana"/>
          <w:b/>
          <w:sz w:val="22"/>
        </w:rPr>
      </w:pPr>
      <w:r w:rsidRPr="009B4390">
        <w:rPr>
          <w:rFonts w:ascii="Verdana" w:hAnsi="Verdana"/>
          <w:b/>
          <w:sz w:val="22"/>
        </w:rPr>
        <w:t>Ansvar</w:t>
      </w:r>
    </w:p>
    <w:p w:rsidR="00BC0DC7" w:rsidRPr="009B4390" w:rsidRDefault="00BC0DC7" w:rsidP="0075586C">
      <w:pPr>
        <w:ind w:left="708"/>
        <w:rPr>
          <w:rFonts w:ascii="Verdana" w:hAnsi="Verdana"/>
          <w:sz w:val="22"/>
        </w:rPr>
      </w:pPr>
      <w:r w:rsidRPr="009B4390">
        <w:rPr>
          <w:rFonts w:ascii="Verdana" w:hAnsi="Verdana"/>
          <w:sz w:val="22"/>
        </w:rPr>
        <w:t>Rådmannen er ansvarlig for samordning av kommunens anskaffelser.</w:t>
      </w:r>
    </w:p>
    <w:p w:rsidR="00BC0DC7" w:rsidRPr="009B4390" w:rsidRDefault="00BC0DC7" w:rsidP="0075586C">
      <w:pPr>
        <w:ind w:left="708"/>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Rådmannen har faglig ansvar for det totale innkjøpsarbeidet. Dette innebærer fastleggelse og overholdelse av regelverk, opplæringstiltak osv.</w:t>
      </w:r>
    </w:p>
    <w:p w:rsidR="00BC0DC7" w:rsidRPr="009B4390" w:rsidRDefault="00BC0DC7" w:rsidP="0075586C">
      <w:pPr>
        <w:ind w:left="708"/>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Regelverket gjelder for alle ansatte i kommunen.</w:t>
      </w:r>
    </w:p>
    <w:p w:rsidR="00BC0DC7" w:rsidRPr="009B4390" w:rsidRDefault="00BC0DC7" w:rsidP="0075586C">
      <w:pPr>
        <w:rPr>
          <w:rFonts w:ascii="Verdana" w:hAnsi="Verdana"/>
          <w:sz w:val="22"/>
        </w:rPr>
      </w:pPr>
    </w:p>
    <w:p w:rsidR="00BC0DC7" w:rsidRPr="009B4390" w:rsidRDefault="00BC0DC7" w:rsidP="0075586C">
      <w:pPr>
        <w:rPr>
          <w:rFonts w:ascii="Verdana" w:hAnsi="Verdana"/>
          <w:i/>
          <w:sz w:val="22"/>
        </w:rPr>
      </w:pPr>
      <w:r w:rsidRPr="009B4390">
        <w:rPr>
          <w:rFonts w:ascii="Verdana" w:hAnsi="Verdana"/>
          <w:b/>
          <w:sz w:val="22"/>
        </w:rPr>
        <w:t>1.2</w:t>
      </w:r>
      <w:r w:rsidRPr="009B4390">
        <w:rPr>
          <w:rFonts w:ascii="Verdana" w:hAnsi="Verdana"/>
          <w:b/>
          <w:sz w:val="22"/>
        </w:rPr>
        <w:tab/>
        <w:t>Grunnleggende prinsipper for anskaffelser</w:t>
      </w:r>
    </w:p>
    <w:p w:rsidR="00BC0DC7" w:rsidRPr="009B4390" w:rsidRDefault="00BC0DC7" w:rsidP="0075586C">
      <w:pPr>
        <w:ind w:left="708"/>
        <w:rPr>
          <w:rFonts w:ascii="Verdana" w:hAnsi="Verdana"/>
          <w:sz w:val="22"/>
        </w:rPr>
      </w:pPr>
      <w:r w:rsidRPr="009B4390">
        <w:rPr>
          <w:rFonts w:ascii="Verdana" w:hAnsi="Verdana"/>
          <w:sz w:val="22"/>
        </w:rPr>
        <w:t>For anskaffelser gjelder følgende retningslinjer:</w:t>
      </w:r>
    </w:p>
    <w:p w:rsidR="00BC0DC7" w:rsidRPr="009B4390" w:rsidRDefault="00BC0DC7" w:rsidP="0075586C">
      <w:pPr>
        <w:ind w:left="708"/>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 Alle anskaffelser, hvis mulig, skal baseres på konkurranse.</w:t>
      </w:r>
    </w:p>
    <w:p w:rsidR="00BC0DC7" w:rsidRPr="009B4390" w:rsidRDefault="00BC0DC7" w:rsidP="0075586C">
      <w:pPr>
        <w:ind w:left="708"/>
        <w:rPr>
          <w:rFonts w:ascii="Verdana" w:hAnsi="Verdana"/>
          <w:sz w:val="22"/>
        </w:rPr>
      </w:pPr>
      <w:r w:rsidRPr="009B4390">
        <w:rPr>
          <w:rFonts w:ascii="Verdana" w:hAnsi="Verdana"/>
          <w:sz w:val="22"/>
        </w:rPr>
        <w:t>- Alle anskaffelser skal ha sitt grunnlag i vedtatte planer og budsjetter</w:t>
      </w:r>
    </w:p>
    <w:p w:rsidR="00BC0DC7" w:rsidRPr="009B4390" w:rsidRDefault="00BC0DC7" w:rsidP="0075586C">
      <w:pPr>
        <w:tabs>
          <w:tab w:val="left" w:pos="709"/>
          <w:tab w:val="left" w:pos="993"/>
        </w:tabs>
        <w:ind w:left="708"/>
        <w:rPr>
          <w:rFonts w:ascii="Verdana" w:hAnsi="Verdana"/>
          <w:sz w:val="22"/>
        </w:rPr>
      </w:pPr>
      <w:r w:rsidRPr="009B4390">
        <w:rPr>
          <w:rFonts w:ascii="Verdana" w:hAnsi="Verdana"/>
          <w:sz w:val="22"/>
        </w:rPr>
        <w:t xml:space="preserve">- Alle anskaffelser skal skje i henhold til vedtatte rutiner i kommunen. </w:t>
      </w:r>
    </w:p>
    <w:p w:rsidR="00BC0DC7" w:rsidRPr="009B4390" w:rsidRDefault="00BC0DC7" w:rsidP="0075586C">
      <w:pPr>
        <w:tabs>
          <w:tab w:val="left" w:pos="851"/>
        </w:tabs>
        <w:ind w:left="708"/>
        <w:rPr>
          <w:rFonts w:ascii="Verdana" w:hAnsi="Verdana"/>
          <w:sz w:val="22"/>
        </w:rPr>
      </w:pPr>
      <w:r w:rsidRPr="009B4390">
        <w:rPr>
          <w:rFonts w:ascii="Verdana" w:hAnsi="Verdana"/>
          <w:sz w:val="22"/>
        </w:rPr>
        <w:t>- Anskaffelser skal følge gjeldende lover og forskrifter.</w:t>
      </w:r>
    </w:p>
    <w:p w:rsidR="00BC0DC7" w:rsidRPr="009B4390" w:rsidRDefault="00BC0DC7" w:rsidP="0075586C">
      <w:pPr>
        <w:tabs>
          <w:tab w:val="left" w:pos="851"/>
        </w:tabs>
        <w:ind w:left="708"/>
        <w:rPr>
          <w:rFonts w:ascii="Verdana" w:hAnsi="Verdana"/>
          <w:sz w:val="22"/>
        </w:rPr>
      </w:pPr>
      <w:r w:rsidRPr="009B4390">
        <w:rPr>
          <w:rFonts w:ascii="Verdana" w:hAnsi="Verdana"/>
          <w:sz w:val="22"/>
        </w:rPr>
        <w:t>- Kommunens krav til helse, miljø og sikkerhet skal følges.</w:t>
      </w:r>
    </w:p>
    <w:p w:rsidR="00BC0DC7" w:rsidRPr="009B4390" w:rsidRDefault="00BC0DC7" w:rsidP="0075586C">
      <w:pPr>
        <w:ind w:left="708"/>
        <w:rPr>
          <w:rFonts w:ascii="Verdana" w:hAnsi="Verdana"/>
          <w:sz w:val="22"/>
        </w:rPr>
      </w:pPr>
      <w:r w:rsidRPr="009B4390">
        <w:rPr>
          <w:rFonts w:ascii="Verdana" w:hAnsi="Verdana"/>
          <w:sz w:val="22"/>
        </w:rPr>
        <w:t>- Avtaler som er inngått og gjort gjeldende av kommunen</w:t>
      </w:r>
      <w:r w:rsidRPr="009B4390">
        <w:rPr>
          <w:rFonts w:ascii="Verdana" w:hAnsi="Verdana"/>
          <w:b/>
          <w:sz w:val="22"/>
        </w:rPr>
        <w:t xml:space="preserve"> </w:t>
      </w:r>
      <w:r w:rsidRPr="009B4390">
        <w:rPr>
          <w:rFonts w:ascii="Verdana" w:hAnsi="Verdana"/>
          <w:sz w:val="22"/>
        </w:rPr>
        <w:t>skal benyttes.</w:t>
      </w:r>
    </w:p>
    <w:p w:rsidR="00BC0DC7" w:rsidRPr="009B4390" w:rsidRDefault="00BC0DC7" w:rsidP="0075586C">
      <w:pPr>
        <w:ind w:left="708"/>
        <w:rPr>
          <w:rFonts w:ascii="Verdana" w:hAnsi="Verdana"/>
          <w:sz w:val="22"/>
        </w:rPr>
      </w:pPr>
    </w:p>
    <w:p w:rsidR="00BC0DC7" w:rsidRPr="009B4390" w:rsidRDefault="00BC0DC7" w:rsidP="00EB146E">
      <w:pPr>
        <w:numPr>
          <w:ilvl w:val="0"/>
          <w:numId w:val="15"/>
        </w:numPr>
        <w:tabs>
          <w:tab w:val="left" w:pos="705"/>
        </w:tabs>
        <w:rPr>
          <w:rFonts w:ascii="Verdana" w:hAnsi="Verdana"/>
          <w:b/>
          <w:sz w:val="22"/>
        </w:rPr>
      </w:pPr>
      <w:r w:rsidRPr="009B4390">
        <w:rPr>
          <w:rFonts w:ascii="Verdana" w:hAnsi="Verdana"/>
          <w:b/>
          <w:sz w:val="22"/>
        </w:rPr>
        <w:t xml:space="preserve">Etiske prinsipper for innkjøp </w:t>
      </w:r>
    </w:p>
    <w:p w:rsidR="00BC0DC7" w:rsidRPr="009B4390" w:rsidRDefault="00BC0DC7" w:rsidP="0075586C">
      <w:pPr>
        <w:pStyle w:val="Bunntekst"/>
        <w:tabs>
          <w:tab w:val="clear" w:pos="4819"/>
          <w:tab w:val="clear" w:pos="9071"/>
        </w:tabs>
        <w:ind w:left="705"/>
        <w:rPr>
          <w:rFonts w:ascii="Verdana" w:hAnsi="Verdana"/>
          <w:sz w:val="22"/>
        </w:rPr>
      </w:pPr>
      <w:r w:rsidRPr="009B4390">
        <w:rPr>
          <w:rFonts w:ascii="Verdana" w:hAnsi="Verdana"/>
          <w:sz w:val="22"/>
        </w:rPr>
        <w:t>Alle som arbeider med saker etter denne instruks, skal sette strenge krav til integritet og etikk for sin virksomhet. Man skal heve respekten for anskaffelsesarbeidet ved å ta avstand fra og bekjempe enhver uetisk forretningspraksis.</w:t>
      </w:r>
    </w:p>
    <w:p w:rsidR="00BC0DC7" w:rsidRPr="009B4390" w:rsidRDefault="00BC0DC7" w:rsidP="0075586C">
      <w:pPr>
        <w:rPr>
          <w:rFonts w:ascii="Verdana" w:hAnsi="Verdana"/>
          <w:sz w:val="22"/>
        </w:rPr>
      </w:pPr>
    </w:p>
    <w:p w:rsidR="00BC0DC7" w:rsidRPr="009B4390" w:rsidRDefault="00BC0DC7" w:rsidP="0075586C">
      <w:pPr>
        <w:ind w:left="705"/>
        <w:rPr>
          <w:rFonts w:ascii="Verdana" w:hAnsi="Verdana"/>
          <w:sz w:val="22"/>
        </w:rPr>
      </w:pPr>
      <w:r w:rsidRPr="009B4390">
        <w:rPr>
          <w:rFonts w:ascii="Verdana" w:hAnsi="Verdana"/>
          <w:sz w:val="22"/>
        </w:rPr>
        <w:t xml:space="preserve">Ingen leverandør skal gis uberettigede fordeler fremfor andre. Ingen medarbeidere skal kunne oppnå personlige fordeler av kommunens anskaffelser. </w:t>
      </w:r>
    </w:p>
    <w:p w:rsidR="00BC0DC7" w:rsidRPr="009B4390" w:rsidRDefault="00BC0DC7" w:rsidP="004B727A">
      <w:pPr>
        <w:rPr>
          <w:rFonts w:ascii="Verdana" w:hAnsi="Verdana"/>
          <w:sz w:val="22"/>
        </w:rPr>
      </w:pPr>
    </w:p>
    <w:p w:rsidR="00BC0DC7" w:rsidRPr="009B4390" w:rsidRDefault="00BC0DC7" w:rsidP="0075586C">
      <w:pPr>
        <w:ind w:left="705"/>
        <w:rPr>
          <w:rFonts w:ascii="Verdana" w:hAnsi="Verdana"/>
          <w:sz w:val="22"/>
        </w:rPr>
      </w:pPr>
      <w:r w:rsidRPr="009B4390">
        <w:rPr>
          <w:rFonts w:ascii="Verdana" w:hAnsi="Verdana"/>
          <w:sz w:val="22"/>
        </w:rPr>
        <w:t>Ingen medarbeider i kommunen som deltar i eller foretar kommunale innkjøp kan være involvert i forhold som kan påvirke handlefrihet og dømmekraft.</w:t>
      </w:r>
    </w:p>
    <w:p w:rsidR="00BC0DC7" w:rsidRPr="009B4390" w:rsidRDefault="00BC0DC7" w:rsidP="0075586C">
      <w:pPr>
        <w:rPr>
          <w:rFonts w:ascii="Verdana" w:hAnsi="Verdana"/>
          <w:sz w:val="22"/>
        </w:rPr>
      </w:pPr>
    </w:p>
    <w:p w:rsidR="00BC0DC7" w:rsidRPr="009B4390" w:rsidRDefault="00BC0DC7" w:rsidP="0075586C">
      <w:pPr>
        <w:ind w:left="705"/>
        <w:rPr>
          <w:rFonts w:ascii="Verdana" w:hAnsi="Verdana"/>
          <w:sz w:val="22"/>
        </w:rPr>
      </w:pPr>
      <w:r w:rsidRPr="009B4390">
        <w:rPr>
          <w:rFonts w:ascii="Verdana" w:hAnsi="Verdana"/>
          <w:sz w:val="22"/>
        </w:rPr>
        <w:t>Enhver medarbeider som deltar i kommunale anskaffelser skal informere sin nærmeste overordnede om reell eller mulig inhabilitet.</w:t>
      </w:r>
    </w:p>
    <w:p w:rsidR="00BC0DC7" w:rsidRPr="009B4390" w:rsidRDefault="00BC0DC7" w:rsidP="0075586C">
      <w:pPr>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 xml:space="preserve">All kontakt med leverandører skal utelukkende skje ut fra kommunens interesse. </w:t>
      </w:r>
    </w:p>
    <w:p w:rsidR="00BC0DC7" w:rsidRPr="009B4390" w:rsidRDefault="00BC0DC7" w:rsidP="0075586C">
      <w:pPr>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Ansatte i kommunen skal ikke utnytte sin stilling til å oppnå særlige fordeler ved egne kjøp fra kommunens leverandører, og skal ikke motta gaver, ytelser, penger eller andre fordeler. Dette gjelder likevel ikke gaver av ubetydelig verdi, så som reklamemateriell, blomster o.l.</w:t>
      </w:r>
    </w:p>
    <w:p w:rsidR="00BC0DC7" w:rsidRPr="009B4390" w:rsidRDefault="00BC0DC7" w:rsidP="0075586C">
      <w:pPr>
        <w:rPr>
          <w:rFonts w:ascii="Verdana" w:hAnsi="Verdana"/>
          <w:sz w:val="22"/>
        </w:rPr>
      </w:pPr>
    </w:p>
    <w:p w:rsidR="00BC0DC7" w:rsidRPr="009B4390" w:rsidRDefault="00BC0DC7" w:rsidP="0075586C">
      <w:pPr>
        <w:rPr>
          <w:rFonts w:ascii="Verdana" w:hAnsi="Verdana"/>
          <w:b/>
          <w:sz w:val="22"/>
        </w:rPr>
      </w:pPr>
      <w:r w:rsidRPr="009B4390">
        <w:rPr>
          <w:rFonts w:ascii="Verdana" w:hAnsi="Verdana"/>
          <w:b/>
          <w:sz w:val="22"/>
        </w:rPr>
        <w:t>2.</w:t>
      </w:r>
      <w:r w:rsidRPr="009B4390">
        <w:rPr>
          <w:rFonts w:ascii="Verdana" w:hAnsi="Verdana"/>
          <w:b/>
          <w:sz w:val="22"/>
        </w:rPr>
        <w:tab/>
        <w:t>Retningslinjer for den enkelte anskaffelse</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2.1</w:t>
      </w:r>
      <w:r w:rsidRPr="009B4390">
        <w:rPr>
          <w:rFonts w:ascii="Verdana" w:hAnsi="Verdana"/>
          <w:b/>
          <w:sz w:val="22"/>
        </w:rPr>
        <w:tab/>
        <w:t>Anskaffelser under 500.000,- eks. mva.</w:t>
      </w:r>
    </w:p>
    <w:p w:rsidR="00BC0DC7" w:rsidRPr="009B4390" w:rsidRDefault="00BC0DC7" w:rsidP="0075586C">
      <w:pPr>
        <w:pStyle w:val="BodyText21"/>
        <w:rPr>
          <w:rFonts w:ascii="Verdana" w:hAnsi="Verdana"/>
          <w:sz w:val="22"/>
        </w:rPr>
      </w:pPr>
      <w:r w:rsidRPr="009B4390">
        <w:rPr>
          <w:rFonts w:ascii="Verdana" w:hAnsi="Verdana"/>
          <w:sz w:val="22"/>
        </w:rPr>
        <w:t xml:space="preserve">Slike anskaffelser skal skje etter forskriftens del I. Utgangspunktet er at anskaffelsen skal skje etter konkurranse under forutsetning av at kostnadene (arbeidet) for å gjennomføre konkurranse kan forsvares i forhold til størrelsen på anskaffelsen. </w:t>
      </w:r>
    </w:p>
    <w:p w:rsidR="00BC0DC7" w:rsidRPr="009B4390" w:rsidRDefault="00BC0DC7" w:rsidP="0075586C">
      <w:pPr>
        <w:pStyle w:val="BodyText21"/>
        <w:rPr>
          <w:rFonts w:ascii="Verdana" w:hAnsi="Verdana"/>
          <w:sz w:val="22"/>
        </w:rPr>
      </w:pPr>
      <w:r w:rsidRPr="009B4390">
        <w:rPr>
          <w:rFonts w:ascii="Verdana" w:hAnsi="Verdana"/>
          <w:sz w:val="22"/>
        </w:rPr>
        <w:t>Man må være oppmerksom på hvilke formkrav som gjelder ved anskaffelser over 100.000, ref punkt 2.5.</w:t>
      </w:r>
    </w:p>
    <w:p w:rsidR="00BC0DC7" w:rsidRPr="009B4390" w:rsidRDefault="00BC0DC7" w:rsidP="0075586C">
      <w:pPr>
        <w:ind w:left="708"/>
        <w:rPr>
          <w:rFonts w:ascii="Verdana" w:hAnsi="Verdana"/>
          <w:sz w:val="22"/>
        </w:rPr>
      </w:pPr>
    </w:p>
    <w:p w:rsidR="00BC0DC7" w:rsidRPr="009B4390" w:rsidRDefault="00BC0DC7" w:rsidP="0075586C">
      <w:pPr>
        <w:numPr>
          <w:ilvl w:val="1"/>
          <w:numId w:val="3"/>
        </w:numPr>
        <w:rPr>
          <w:rFonts w:ascii="Verdana" w:hAnsi="Verdana"/>
          <w:b/>
          <w:sz w:val="22"/>
        </w:rPr>
      </w:pPr>
      <w:r w:rsidRPr="009B4390">
        <w:rPr>
          <w:rFonts w:ascii="Verdana" w:hAnsi="Verdana"/>
          <w:b/>
          <w:sz w:val="22"/>
        </w:rPr>
        <w:t>Anskaffelser over kr 500.000,- eks. mva</w:t>
      </w:r>
    </w:p>
    <w:p w:rsidR="00BC0DC7" w:rsidRPr="009B4390" w:rsidRDefault="00BC0DC7" w:rsidP="0075586C">
      <w:pPr>
        <w:ind w:left="708"/>
        <w:rPr>
          <w:rFonts w:ascii="Verdana" w:hAnsi="Verdana"/>
          <w:sz w:val="22"/>
        </w:rPr>
      </w:pPr>
      <w:r w:rsidRPr="009B4390">
        <w:rPr>
          <w:rFonts w:ascii="Verdana" w:hAnsi="Verdana"/>
          <w:sz w:val="22"/>
        </w:rPr>
        <w:t>Slike anskaffelser kommer inn under den nasjonale forskriften og skal kunngjøres i DOFFIN.</w:t>
      </w:r>
    </w:p>
    <w:p w:rsidR="00BC0DC7" w:rsidRPr="009B4390" w:rsidRDefault="00BC0DC7" w:rsidP="0075586C">
      <w:pPr>
        <w:ind w:left="708"/>
        <w:rPr>
          <w:rFonts w:ascii="Verdana" w:hAnsi="Verdana"/>
          <w:sz w:val="22"/>
        </w:rPr>
      </w:pPr>
    </w:p>
    <w:p w:rsidR="00BC0DC7" w:rsidRPr="009B4390" w:rsidRDefault="00BC0DC7" w:rsidP="0075586C">
      <w:pPr>
        <w:numPr>
          <w:ilvl w:val="1"/>
          <w:numId w:val="3"/>
        </w:numPr>
        <w:rPr>
          <w:rFonts w:ascii="Verdana" w:hAnsi="Verdana"/>
          <w:b/>
          <w:sz w:val="22"/>
        </w:rPr>
      </w:pPr>
      <w:r w:rsidRPr="009B4390">
        <w:rPr>
          <w:rFonts w:ascii="Verdana" w:hAnsi="Verdana"/>
          <w:b/>
          <w:sz w:val="22"/>
        </w:rPr>
        <w:t>Anskaffelser over kr 1 600.000,-/41 500 000 (bygg) eks. mva</w:t>
      </w:r>
    </w:p>
    <w:p w:rsidR="00BC0DC7" w:rsidRPr="009B4390" w:rsidRDefault="00BC0DC7" w:rsidP="0075586C">
      <w:pPr>
        <w:ind w:left="708"/>
        <w:rPr>
          <w:rFonts w:ascii="Verdana" w:hAnsi="Verdana"/>
          <w:sz w:val="22"/>
        </w:rPr>
      </w:pPr>
      <w:r w:rsidRPr="009B4390">
        <w:rPr>
          <w:rFonts w:ascii="Verdana" w:hAnsi="Verdana"/>
          <w:sz w:val="22"/>
        </w:rPr>
        <w:t>Vare- eller tjenesteanskaffelser over denne beløpsgrensen skal annonseres i DOFFIN og i TED (Tender Electronic Daily). Det gjelder spesielle anbudsfrister avhengig av prosedyre.</w:t>
      </w:r>
    </w:p>
    <w:p w:rsidR="00BC0DC7" w:rsidRPr="009B4390" w:rsidRDefault="00BC0DC7" w:rsidP="0075586C">
      <w:pPr>
        <w:ind w:left="708"/>
        <w:rPr>
          <w:rFonts w:ascii="Verdana" w:hAnsi="Verdana"/>
          <w:sz w:val="22"/>
        </w:rPr>
      </w:pPr>
    </w:p>
    <w:p w:rsidR="00BC0DC7" w:rsidRPr="009B4390" w:rsidRDefault="00BC0DC7" w:rsidP="0075586C">
      <w:pPr>
        <w:numPr>
          <w:ilvl w:val="1"/>
          <w:numId w:val="3"/>
        </w:numPr>
        <w:rPr>
          <w:rFonts w:ascii="Verdana" w:hAnsi="Verdana"/>
          <w:b/>
          <w:sz w:val="22"/>
        </w:rPr>
      </w:pPr>
      <w:r w:rsidRPr="009B4390">
        <w:rPr>
          <w:rFonts w:ascii="Verdana" w:hAnsi="Verdana"/>
          <w:b/>
          <w:sz w:val="22"/>
        </w:rPr>
        <w:t>Beregning av anskaffelsens størrelse(terskelverdi)</w:t>
      </w:r>
    </w:p>
    <w:p w:rsidR="00BC0DC7" w:rsidRPr="009B4390" w:rsidRDefault="00BC0DC7" w:rsidP="0075586C">
      <w:pPr>
        <w:ind w:left="708"/>
        <w:rPr>
          <w:rFonts w:ascii="Verdana" w:hAnsi="Verdana"/>
          <w:sz w:val="22"/>
        </w:rPr>
      </w:pPr>
      <w:r w:rsidRPr="009B4390">
        <w:rPr>
          <w:rFonts w:ascii="Verdana" w:hAnsi="Verdana"/>
          <w:sz w:val="22"/>
        </w:rPr>
        <w:t xml:space="preserve">Anskaffelsens størrelse – terskelverdi – er summen av alle elementer ved anskaffelsen eks mva. Hvis det er anskaffelse over tid, er det verdien totalt i tidsrommet som gjelder, f. eks summen av alle anskaffelsene i et prosjekt eller en kontrakt eks. mva. </w:t>
      </w:r>
    </w:p>
    <w:p w:rsidR="00BC0DC7" w:rsidRPr="009B4390" w:rsidDel="00F753F4" w:rsidRDefault="00BC0DC7" w:rsidP="0075586C">
      <w:pPr>
        <w:ind w:left="708"/>
        <w:rPr>
          <w:rFonts w:ascii="Verdana" w:hAnsi="Verdana"/>
          <w:sz w:val="22"/>
        </w:rPr>
      </w:pPr>
      <w:r w:rsidRPr="009B4390">
        <w:rPr>
          <w:rFonts w:ascii="Verdana" w:hAnsi="Verdana"/>
          <w:sz w:val="22"/>
        </w:rPr>
        <w:t xml:space="preserve">Ved rammeavtale er det totalt uttak i hele avtaleperioden og for alle deltagende kommuner som bestemmer terskelverdien. </w:t>
      </w:r>
    </w:p>
    <w:p w:rsidR="00BC0DC7" w:rsidRPr="009B4390" w:rsidRDefault="00BC0DC7" w:rsidP="0075586C">
      <w:pPr>
        <w:ind w:left="708"/>
        <w:rPr>
          <w:rFonts w:ascii="Verdana" w:hAnsi="Verdana"/>
          <w:sz w:val="22"/>
        </w:rPr>
      </w:pPr>
      <w:r w:rsidRPr="009B4390">
        <w:rPr>
          <w:rFonts w:ascii="Verdana" w:hAnsi="Verdana"/>
          <w:sz w:val="22"/>
        </w:rPr>
        <w:t>Også eventuelle opsjoner skal telles inn i anskaffelsen.</w:t>
      </w:r>
    </w:p>
    <w:p w:rsidR="00BC0DC7" w:rsidRPr="009B4390" w:rsidRDefault="00BC0DC7" w:rsidP="0075586C">
      <w:pPr>
        <w:ind w:left="708"/>
        <w:rPr>
          <w:rFonts w:ascii="Verdana" w:hAnsi="Verdana"/>
          <w:sz w:val="22"/>
        </w:rPr>
      </w:pPr>
      <w:r w:rsidRPr="009B4390">
        <w:rPr>
          <w:rFonts w:ascii="Verdana" w:hAnsi="Verdana"/>
          <w:sz w:val="22"/>
        </w:rPr>
        <w:t>Det er ikke anledning til å foreta oppdeling av anskaffelsen med den hensikt å komme under terskelverdiene.</w:t>
      </w:r>
    </w:p>
    <w:p w:rsidR="00BC0DC7" w:rsidRPr="009B4390" w:rsidRDefault="00BC0DC7" w:rsidP="0075586C">
      <w:pPr>
        <w:ind w:left="708"/>
        <w:rPr>
          <w:rFonts w:ascii="Verdana" w:hAnsi="Verdana"/>
          <w:sz w:val="22"/>
        </w:rPr>
      </w:pPr>
      <w:r w:rsidRPr="009B4390">
        <w:rPr>
          <w:rFonts w:ascii="Verdana" w:hAnsi="Verdana"/>
          <w:sz w:val="22"/>
        </w:rPr>
        <w:t>Hvis flere kommuner anskaffer sammen så er det summen av de kommunale anskaffelsene som legges til grunn.</w:t>
      </w:r>
    </w:p>
    <w:p w:rsidR="00BC0DC7" w:rsidRPr="009B4390" w:rsidRDefault="00BC0DC7" w:rsidP="0075586C">
      <w:pPr>
        <w:rPr>
          <w:rFonts w:ascii="Verdana" w:hAnsi="Verdana"/>
          <w:sz w:val="22"/>
        </w:rPr>
      </w:pPr>
    </w:p>
    <w:p w:rsidR="00BC0DC7" w:rsidRPr="009B4390" w:rsidRDefault="00BC0DC7" w:rsidP="0075586C">
      <w:pPr>
        <w:numPr>
          <w:ilvl w:val="1"/>
          <w:numId w:val="3"/>
        </w:numPr>
        <w:rPr>
          <w:rFonts w:ascii="Verdana" w:hAnsi="Verdana"/>
          <w:b/>
          <w:sz w:val="22"/>
        </w:rPr>
      </w:pPr>
      <w:r w:rsidRPr="009B4390">
        <w:rPr>
          <w:rFonts w:ascii="Verdana" w:hAnsi="Verdana"/>
          <w:b/>
          <w:sz w:val="22"/>
        </w:rPr>
        <w:t>Krav til attester og protokoller.</w:t>
      </w:r>
    </w:p>
    <w:p w:rsidR="00BC0DC7" w:rsidRPr="009B4390" w:rsidRDefault="00BC0DC7" w:rsidP="0075586C">
      <w:pPr>
        <w:ind w:left="708"/>
        <w:rPr>
          <w:rFonts w:ascii="Verdana" w:hAnsi="Verdana"/>
          <w:sz w:val="22"/>
        </w:rPr>
      </w:pPr>
      <w:r w:rsidRPr="009B4390">
        <w:rPr>
          <w:rFonts w:ascii="Verdana" w:hAnsi="Verdana"/>
          <w:sz w:val="22"/>
        </w:rPr>
        <w:t>Ved alle anskaffelser over kr 100 000.- skal følgende formalkrav oppfylles:</w:t>
      </w:r>
    </w:p>
    <w:p w:rsidR="00BC0DC7" w:rsidRPr="009B4390" w:rsidRDefault="00BC0DC7" w:rsidP="0075586C">
      <w:pPr>
        <w:numPr>
          <w:ilvl w:val="0"/>
          <w:numId w:val="4"/>
        </w:numPr>
        <w:rPr>
          <w:rFonts w:ascii="Verdana" w:hAnsi="Verdana"/>
          <w:b/>
          <w:sz w:val="22"/>
        </w:rPr>
      </w:pPr>
      <w:r w:rsidRPr="009B4390">
        <w:rPr>
          <w:rFonts w:ascii="Verdana" w:hAnsi="Verdana"/>
          <w:sz w:val="22"/>
        </w:rPr>
        <w:t>Det skal kreves attester for betalt skatt og betalt mva. Disse attestene skal ikke vær eldre enn 6 måneder fra anbudstidspunktet jfr. til FOA § 3-3.</w:t>
      </w:r>
    </w:p>
    <w:p w:rsidR="00BC0DC7" w:rsidRPr="009B4390" w:rsidRDefault="00BC0DC7" w:rsidP="0075586C">
      <w:pPr>
        <w:numPr>
          <w:ilvl w:val="0"/>
          <w:numId w:val="4"/>
        </w:numPr>
        <w:rPr>
          <w:rFonts w:ascii="Verdana" w:hAnsi="Verdana"/>
          <w:b/>
          <w:sz w:val="22"/>
        </w:rPr>
      </w:pPr>
      <w:r w:rsidRPr="009B4390">
        <w:rPr>
          <w:rFonts w:ascii="Verdana" w:hAnsi="Verdana"/>
          <w:sz w:val="22"/>
        </w:rPr>
        <w:t>Det skal føres anskaffelsesprotokoll, jfr. FOA § 3-2.</w:t>
      </w:r>
    </w:p>
    <w:p w:rsidR="00BC0DC7" w:rsidRPr="009B4390" w:rsidRDefault="00BC0DC7" w:rsidP="0075586C">
      <w:pPr>
        <w:numPr>
          <w:ilvl w:val="0"/>
          <w:numId w:val="4"/>
        </w:numPr>
        <w:rPr>
          <w:rFonts w:ascii="Verdana" w:hAnsi="Verdana"/>
          <w:b/>
          <w:sz w:val="22"/>
        </w:rPr>
      </w:pPr>
      <w:r w:rsidRPr="009B4390">
        <w:rPr>
          <w:rFonts w:ascii="Verdana" w:hAnsi="Verdana"/>
          <w:sz w:val="22"/>
        </w:rPr>
        <w:t>Det skal leveres HMS-attest for anskaffelser vedrørende arbeid som utføres i Norge, jfr. FOA § 3-4. Attesten skal ikke være eldre enn 6 mnd.</w:t>
      </w:r>
    </w:p>
    <w:p w:rsidR="00BC0DC7" w:rsidRPr="009B4390" w:rsidRDefault="00BC0DC7" w:rsidP="0075586C">
      <w:pPr>
        <w:rPr>
          <w:rFonts w:ascii="Verdana" w:hAnsi="Verdana"/>
          <w:sz w:val="22"/>
        </w:rPr>
      </w:pPr>
    </w:p>
    <w:p w:rsidR="00BC0DC7" w:rsidRPr="009B4390" w:rsidRDefault="00BC0DC7" w:rsidP="0075586C">
      <w:pPr>
        <w:rPr>
          <w:rFonts w:ascii="Verdana" w:hAnsi="Verdana"/>
          <w:b/>
          <w:sz w:val="22"/>
        </w:rPr>
      </w:pPr>
      <w:r w:rsidRPr="009B4390">
        <w:rPr>
          <w:rFonts w:ascii="Verdana" w:hAnsi="Verdana"/>
          <w:b/>
          <w:sz w:val="22"/>
        </w:rPr>
        <w:t>2.6</w:t>
      </w:r>
      <w:r w:rsidRPr="009B4390">
        <w:rPr>
          <w:rFonts w:ascii="Verdana" w:hAnsi="Verdana"/>
          <w:b/>
          <w:sz w:val="22"/>
        </w:rPr>
        <w:tab/>
        <w:t>Leveranser innenfor rammeavtaler.</w:t>
      </w:r>
    </w:p>
    <w:p w:rsidR="00BC0DC7" w:rsidRPr="009B4390" w:rsidRDefault="00BC0DC7" w:rsidP="0075586C">
      <w:pPr>
        <w:ind w:left="708"/>
        <w:rPr>
          <w:rFonts w:ascii="Verdana" w:hAnsi="Verdana"/>
          <w:b/>
          <w:sz w:val="22"/>
        </w:rPr>
      </w:pPr>
      <w:r w:rsidRPr="009B4390">
        <w:rPr>
          <w:rFonts w:ascii="Verdana" w:hAnsi="Verdana"/>
          <w:sz w:val="22"/>
        </w:rPr>
        <w:t>Varer og tjenester som ligger innenfor en inngått rammeavtale skal rekvireres i henhold til rammeavtalens bestemmelser. Alle avrop på rammeavtaler skal skje etter vedtatte rutiner.</w:t>
      </w:r>
    </w:p>
    <w:p w:rsidR="00BC0DC7" w:rsidRPr="009B4390" w:rsidRDefault="00BC0DC7" w:rsidP="0075586C">
      <w:pPr>
        <w:ind w:left="708"/>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lastRenderedPageBreak/>
        <w:t>En rammeavtale er et bindende dokument for både kjøper og leverandør, det er derfor nødvendig at bestemmelsene i rammeavtalen overholdes.</w:t>
      </w:r>
    </w:p>
    <w:p w:rsidR="00BC0DC7" w:rsidRPr="009B4390" w:rsidRDefault="00BC0DC7" w:rsidP="0075586C">
      <w:pPr>
        <w:ind w:left="708"/>
        <w:rPr>
          <w:rFonts w:ascii="Verdana" w:hAnsi="Verdana"/>
          <w:sz w:val="22"/>
        </w:rPr>
      </w:pPr>
    </w:p>
    <w:p w:rsidR="00BC0DC7" w:rsidRPr="009B4390" w:rsidRDefault="00BC0DC7" w:rsidP="00616C98">
      <w:pPr>
        <w:ind w:left="708"/>
        <w:rPr>
          <w:rFonts w:ascii="Verdana" w:hAnsi="Verdana"/>
          <w:sz w:val="22"/>
        </w:rPr>
      </w:pPr>
      <w:r w:rsidRPr="009B4390">
        <w:rPr>
          <w:rFonts w:ascii="Verdana" w:hAnsi="Verdana"/>
          <w:sz w:val="22"/>
        </w:rPr>
        <w:t>Avrop/bestilling av varer og tjenester, som er avtalefestet gjennom rammeavtaler, skal skje uten at konkurransemomentet trekkes inn.</w:t>
      </w:r>
    </w:p>
    <w:p w:rsidR="00BC0DC7" w:rsidRPr="009B4390" w:rsidRDefault="00BC0DC7" w:rsidP="0075586C">
      <w:pPr>
        <w:rPr>
          <w:rFonts w:ascii="Verdana" w:hAnsi="Verdana"/>
          <w:sz w:val="22"/>
        </w:rPr>
      </w:pPr>
    </w:p>
    <w:p w:rsidR="00BC0DC7" w:rsidRPr="009B4390" w:rsidRDefault="00BC0DC7" w:rsidP="0075586C">
      <w:pPr>
        <w:rPr>
          <w:rFonts w:ascii="Verdana" w:hAnsi="Verdana"/>
          <w:b/>
          <w:sz w:val="22"/>
        </w:rPr>
      </w:pPr>
      <w:r w:rsidRPr="009B4390">
        <w:rPr>
          <w:rFonts w:ascii="Verdana" w:hAnsi="Verdana"/>
          <w:b/>
          <w:sz w:val="22"/>
        </w:rPr>
        <w:t>2.7</w:t>
      </w:r>
      <w:r w:rsidRPr="009B4390">
        <w:rPr>
          <w:rFonts w:ascii="Verdana" w:hAnsi="Verdana"/>
          <w:b/>
          <w:sz w:val="22"/>
        </w:rPr>
        <w:tab/>
        <w:t>Unntaksregler</w:t>
      </w:r>
    </w:p>
    <w:p w:rsidR="00BC0DC7" w:rsidRPr="009B4390" w:rsidRDefault="00BC0DC7" w:rsidP="0075586C">
      <w:pPr>
        <w:ind w:left="708"/>
        <w:rPr>
          <w:rFonts w:ascii="Verdana" w:hAnsi="Verdana"/>
          <w:sz w:val="22"/>
        </w:rPr>
      </w:pPr>
      <w:r w:rsidRPr="009B4390">
        <w:rPr>
          <w:rFonts w:ascii="Verdana" w:hAnsi="Verdana"/>
          <w:sz w:val="22"/>
        </w:rPr>
        <w:t>Ved akutte behov, som det ikke har vært mulig å forutse (force majeure), kan direktekjøp gjøres. Det må kunne dokumenteres at dette har vært nødvendig.</w:t>
      </w:r>
    </w:p>
    <w:p w:rsidR="00BC0DC7" w:rsidRPr="009B4390" w:rsidRDefault="00BC0DC7" w:rsidP="0075586C">
      <w:pPr>
        <w:ind w:left="708"/>
        <w:rPr>
          <w:rFonts w:ascii="Verdana" w:hAnsi="Verdana"/>
          <w:sz w:val="22"/>
        </w:rPr>
      </w:pPr>
    </w:p>
    <w:p w:rsidR="00BC0DC7" w:rsidRPr="009B4390" w:rsidRDefault="00BC0DC7" w:rsidP="0075586C">
      <w:pPr>
        <w:ind w:left="708"/>
        <w:rPr>
          <w:rFonts w:ascii="Verdana" w:hAnsi="Verdana"/>
          <w:sz w:val="22"/>
        </w:rPr>
      </w:pPr>
      <w:r w:rsidRPr="009B4390">
        <w:rPr>
          <w:rFonts w:ascii="Verdana" w:hAnsi="Verdana"/>
          <w:sz w:val="22"/>
        </w:rPr>
        <w:t>Kommentar:</w:t>
      </w:r>
    </w:p>
    <w:p w:rsidR="00BC0DC7" w:rsidRPr="009B4390" w:rsidRDefault="00BC0DC7" w:rsidP="0075586C">
      <w:pPr>
        <w:ind w:left="708"/>
        <w:rPr>
          <w:rFonts w:ascii="Verdana" w:hAnsi="Verdana"/>
          <w:sz w:val="22"/>
        </w:rPr>
      </w:pPr>
      <w:r w:rsidRPr="009B4390">
        <w:rPr>
          <w:rFonts w:ascii="Verdana" w:hAnsi="Verdana"/>
          <w:sz w:val="22"/>
        </w:rPr>
        <w:t>Ved «ikke har vært mulig å forutse» (force majeure) menes i dette tilfelle f.eks. brann, maskinhavari, oversvømmelse, lekkasjer osv.</w:t>
      </w:r>
    </w:p>
    <w:p w:rsidR="00BC0DC7" w:rsidRPr="009B4390" w:rsidRDefault="00BC0DC7" w:rsidP="0075586C">
      <w:pPr>
        <w:rPr>
          <w:rFonts w:ascii="Verdana" w:hAnsi="Verdana"/>
          <w:sz w:val="22"/>
        </w:rPr>
      </w:pPr>
      <w:r w:rsidRPr="009B4390">
        <w:rPr>
          <w:rFonts w:ascii="Verdana" w:hAnsi="Verdana"/>
          <w:sz w:val="22"/>
        </w:rPr>
        <w:t xml:space="preserve"> </w:t>
      </w:r>
    </w:p>
    <w:p w:rsidR="00BC0DC7" w:rsidRPr="009B4390" w:rsidRDefault="00BC0DC7" w:rsidP="001F3887">
      <w:pPr>
        <w:rPr>
          <w:rFonts w:ascii="Verdana" w:hAnsi="Verdana"/>
          <w:sz w:val="22"/>
        </w:rPr>
      </w:pPr>
      <w:r w:rsidRPr="009B4390">
        <w:rPr>
          <w:rFonts w:ascii="Verdana" w:hAnsi="Verdana"/>
          <w:b/>
          <w:sz w:val="22"/>
        </w:rPr>
        <w:t>3.</w:t>
      </w:r>
      <w:r w:rsidRPr="009B4390">
        <w:rPr>
          <w:rFonts w:ascii="Verdana" w:hAnsi="Verdana"/>
          <w:sz w:val="22"/>
        </w:rPr>
        <w:tab/>
      </w:r>
      <w:r w:rsidRPr="009B4390">
        <w:rPr>
          <w:rFonts w:ascii="Verdana" w:hAnsi="Verdana"/>
          <w:b/>
          <w:sz w:val="22"/>
        </w:rPr>
        <w:t>Grunnleggende krav til gjennomføring av anskaffelsesprosesser.</w:t>
      </w:r>
    </w:p>
    <w:p w:rsidR="00BC0DC7" w:rsidRPr="009B4390" w:rsidRDefault="00BC0DC7" w:rsidP="0075586C">
      <w:pPr>
        <w:rPr>
          <w:rFonts w:ascii="Verdana" w:hAnsi="Verdana"/>
          <w:sz w:val="22"/>
        </w:rPr>
      </w:pPr>
    </w:p>
    <w:p w:rsidR="00BC0DC7" w:rsidRPr="009B4390" w:rsidRDefault="00BC0DC7" w:rsidP="0075586C">
      <w:pPr>
        <w:rPr>
          <w:rFonts w:ascii="Verdana" w:hAnsi="Verdana"/>
          <w:b/>
          <w:sz w:val="22"/>
        </w:rPr>
      </w:pPr>
      <w:r w:rsidRPr="009B4390">
        <w:rPr>
          <w:rFonts w:ascii="Verdana" w:hAnsi="Verdana"/>
          <w:b/>
          <w:sz w:val="22"/>
        </w:rPr>
        <w:t>3.1</w:t>
      </w:r>
      <w:r w:rsidRPr="009B4390">
        <w:rPr>
          <w:rFonts w:ascii="Verdana" w:hAnsi="Verdana"/>
          <w:b/>
          <w:sz w:val="22"/>
        </w:rPr>
        <w:tab/>
        <w:t>Prosedyrer</w:t>
      </w:r>
    </w:p>
    <w:p w:rsidR="00BC0DC7" w:rsidRPr="009B4390" w:rsidRDefault="00BC0DC7" w:rsidP="0075586C">
      <w:pPr>
        <w:ind w:left="708"/>
        <w:rPr>
          <w:rFonts w:ascii="Verdana" w:hAnsi="Verdana"/>
          <w:sz w:val="22"/>
        </w:rPr>
      </w:pPr>
      <w:r w:rsidRPr="009B4390">
        <w:rPr>
          <w:rFonts w:ascii="Verdana" w:hAnsi="Verdana"/>
          <w:sz w:val="22"/>
        </w:rPr>
        <w:t>Valg av prosedyrer skal skje i henhold til Lov om offentlige anskaffelser av 16.07.1999, vedtatt forskrift til loven og dette reglementet.</w:t>
      </w:r>
    </w:p>
    <w:p w:rsidR="00BC0DC7" w:rsidRPr="009B4390" w:rsidRDefault="00BC0DC7" w:rsidP="0075586C">
      <w:pPr>
        <w:rPr>
          <w:rFonts w:ascii="Verdana" w:hAnsi="Verdana"/>
          <w:sz w:val="22"/>
        </w:rPr>
      </w:pPr>
    </w:p>
    <w:p w:rsidR="00BC0DC7" w:rsidRPr="009B4390" w:rsidRDefault="00BC0DC7" w:rsidP="0075586C">
      <w:pPr>
        <w:rPr>
          <w:rFonts w:ascii="Verdana" w:hAnsi="Verdana"/>
          <w:b/>
          <w:sz w:val="22"/>
        </w:rPr>
      </w:pPr>
      <w:r w:rsidRPr="009B4390">
        <w:rPr>
          <w:rFonts w:ascii="Verdana" w:hAnsi="Verdana"/>
          <w:b/>
          <w:sz w:val="22"/>
        </w:rPr>
        <w:t>3.2</w:t>
      </w:r>
      <w:r w:rsidRPr="009B4390">
        <w:rPr>
          <w:rFonts w:ascii="Verdana" w:hAnsi="Verdana"/>
          <w:b/>
          <w:sz w:val="22"/>
        </w:rPr>
        <w:tab/>
        <w:t>Lover, forskrifter og vedtak</w:t>
      </w:r>
    </w:p>
    <w:p w:rsidR="00BC0DC7" w:rsidRPr="009B4390" w:rsidRDefault="00BC0DC7" w:rsidP="0075586C">
      <w:pPr>
        <w:ind w:left="708"/>
        <w:rPr>
          <w:rFonts w:ascii="Verdana" w:hAnsi="Verdana"/>
          <w:sz w:val="22"/>
        </w:rPr>
      </w:pPr>
      <w:r w:rsidRPr="009B4390">
        <w:rPr>
          <w:rFonts w:ascii="Verdana" w:hAnsi="Verdana"/>
          <w:sz w:val="22"/>
        </w:rPr>
        <w:t>Alle som arbeider med anskaffelser i kommunen skal gjøre seg kjent med lover, forskrifter, reglementer, retningslinjer og instrukser og etterleve de vedtak som er relevante i denne forbindelse.</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3.3</w:t>
      </w:r>
      <w:r w:rsidRPr="009B4390">
        <w:rPr>
          <w:rFonts w:ascii="Verdana" w:hAnsi="Verdana"/>
          <w:b/>
          <w:sz w:val="22"/>
        </w:rPr>
        <w:tab/>
        <w:t>Fortrolig saksbehandling</w:t>
      </w:r>
    </w:p>
    <w:p w:rsidR="00BC0DC7" w:rsidRPr="009B4390" w:rsidRDefault="00BC0DC7" w:rsidP="0075586C">
      <w:pPr>
        <w:ind w:left="708"/>
        <w:rPr>
          <w:rFonts w:ascii="Verdana" w:hAnsi="Verdana"/>
          <w:sz w:val="22"/>
        </w:rPr>
      </w:pPr>
      <w:r w:rsidRPr="009B4390">
        <w:rPr>
          <w:rFonts w:ascii="Verdana" w:hAnsi="Verdana"/>
          <w:sz w:val="22"/>
        </w:rPr>
        <w:t>En skal hindre at saksbehandling vedrørende innkjøpsarbeidet blir kjent for uvedkommende. Spredning av slik informasjon skal begrenses til det strengt nødvendige. Tilbyders konkurranseelementer skal ikke offentliggjøres, jfr. lov om Offentlighet i forvaltningen §6-2a med forskrift til offentlighetsloven kapittel 5 punkt 12, og Forvaltningslovens §13-2.</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4.</w:t>
      </w:r>
      <w:r w:rsidRPr="009B4390">
        <w:rPr>
          <w:rFonts w:ascii="Verdana" w:hAnsi="Verdana"/>
          <w:b/>
          <w:sz w:val="22"/>
        </w:rPr>
        <w:tab/>
        <w:t>Avtaler/kontrakter</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4.1</w:t>
      </w:r>
      <w:r w:rsidRPr="009B4390">
        <w:rPr>
          <w:rFonts w:ascii="Verdana" w:hAnsi="Verdana"/>
          <w:b/>
          <w:sz w:val="22"/>
        </w:rPr>
        <w:tab/>
        <w:t>Løpende kontrakter (leasing- og leieavtaler)</w:t>
      </w:r>
    </w:p>
    <w:p w:rsidR="00BC0DC7" w:rsidRPr="009B4390" w:rsidRDefault="00BC0DC7" w:rsidP="0075586C">
      <w:pPr>
        <w:ind w:left="708"/>
        <w:rPr>
          <w:rFonts w:ascii="Verdana" w:hAnsi="Verdana"/>
          <w:sz w:val="22"/>
        </w:rPr>
      </w:pPr>
      <w:r w:rsidRPr="009B4390">
        <w:rPr>
          <w:rFonts w:ascii="Verdana" w:hAnsi="Verdana"/>
          <w:sz w:val="22"/>
        </w:rPr>
        <w:t xml:space="preserve">Løpende kontrakter inngås for et varierende antall år, avhengig av formålet, med en gjensidig avtalt oppsigelsesfrist, eventuelt med oppdragsgiverstyrt opsjon. </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4.2</w:t>
      </w:r>
      <w:r w:rsidRPr="009B4390">
        <w:rPr>
          <w:rFonts w:ascii="Verdana" w:hAnsi="Verdana"/>
          <w:b/>
          <w:sz w:val="22"/>
        </w:rPr>
        <w:tab/>
        <w:t>Rammeavtaler</w:t>
      </w:r>
    </w:p>
    <w:p w:rsidR="00BC0DC7" w:rsidRPr="009B4390" w:rsidRDefault="00BC0DC7" w:rsidP="0075586C">
      <w:pPr>
        <w:ind w:left="708"/>
        <w:rPr>
          <w:rFonts w:ascii="Verdana" w:hAnsi="Verdana"/>
          <w:sz w:val="22"/>
        </w:rPr>
      </w:pPr>
      <w:r w:rsidRPr="009B4390">
        <w:rPr>
          <w:rFonts w:ascii="Verdana" w:hAnsi="Verdana"/>
          <w:sz w:val="22"/>
        </w:rPr>
        <w:t>Rammeavtale er en tidsavgrenset avtale som betinger at det foretas avrop/bestilling på avtalen med en eller flere leverandører bør normalt inngås for 2 år. Opsjoner knyttet til avtaler skal være oppdragsgiverstyrt og tidsavgrenset.</w:t>
      </w:r>
    </w:p>
    <w:p w:rsidR="00BC0DC7" w:rsidRPr="009B4390" w:rsidRDefault="00BC0DC7" w:rsidP="0075586C">
      <w:pPr>
        <w:rPr>
          <w:rFonts w:ascii="Verdana" w:hAnsi="Verdana"/>
          <w:b/>
          <w:sz w:val="22"/>
        </w:rPr>
      </w:pPr>
      <w:r w:rsidRPr="009B4390">
        <w:rPr>
          <w:rFonts w:ascii="Verdana" w:hAnsi="Verdana"/>
          <w:sz w:val="22"/>
        </w:rPr>
        <w:tab/>
        <w:t>Alle avrop/bestillinger skal kunne dokumenteres skriftlig.</w:t>
      </w:r>
    </w:p>
    <w:p w:rsidR="00BC0DC7" w:rsidRPr="009B4390" w:rsidRDefault="00BC0DC7" w:rsidP="0075586C">
      <w:pPr>
        <w:rPr>
          <w:rFonts w:ascii="Verdana" w:hAnsi="Verdana"/>
          <w:b/>
          <w:sz w:val="22"/>
        </w:rPr>
      </w:pPr>
    </w:p>
    <w:p w:rsidR="00BC0DC7" w:rsidRPr="009B4390" w:rsidRDefault="00BC0DC7" w:rsidP="0075586C">
      <w:pPr>
        <w:rPr>
          <w:rFonts w:ascii="Verdana" w:hAnsi="Verdana"/>
          <w:b/>
          <w:sz w:val="22"/>
        </w:rPr>
      </w:pPr>
      <w:r w:rsidRPr="009B4390">
        <w:rPr>
          <w:rFonts w:ascii="Verdana" w:hAnsi="Verdana"/>
          <w:b/>
          <w:sz w:val="22"/>
        </w:rPr>
        <w:t>4.3</w:t>
      </w:r>
      <w:r w:rsidRPr="009B4390">
        <w:rPr>
          <w:rFonts w:ascii="Verdana" w:hAnsi="Verdana"/>
          <w:b/>
          <w:sz w:val="22"/>
        </w:rPr>
        <w:tab/>
        <w:t>Oversikt over avtaler</w:t>
      </w:r>
    </w:p>
    <w:p w:rsidR="00BC0DC7" w:rsidRPr="009B4390" w:rsidRDefault="00BC0DC7" w:rsidP="00996094">
      <w:pPr>
        <w:ind w:left="708"/>
        <w:rPr>
          <w:rFonts w:ascii="Verdana" w:hAnsi="Verdana"/>
          <w:sz w:val="22"/>
        </w:rPr>
      </w:pPr>
      <w:r w:rsidRPr="009B4390">
        <w:rPr>
          <w:rFonts w:ascii="Verdana" w:hAnsi="Verdana"/>
          <w:sz w:val="22"/>
        </w:rPr>
        <w:t xml:space="preserve">Rådmannen har ansvaret for at det til enhver tid eksisterer ajourførte oversikter over inngåtte avtaler. </w:t>
      </w:r>
    </w:p>
    <w:p w:rsidR="00BC0DC7" w:rsidRPr="009B4390" w:rsidRDefault="00BC0DC7" w:rsidP="00996094">
      <w:pPr>
        <w:ind w:left="705"/>
        <w:rPr>
          <w:rFonts w:ascii="Verdana" w:hAnsi="Verdana"/>
          <w:sz w:val="22"/>
        </w:rPr>
      </w:pPr>
    </w:p>
    <w:p w:rsidR="00BC0DC7" w:rsidRPr="009B4390" w:rsidRDefault="00BC0DC7" w:rsidP="00996094">
      <w:pPr>
        <w:ind w:left="705"/>
        <w:rPr>
          <w:rFonts w:ascii="Verdana" w:hAnsi="Verdana"/>
          <w:sz w:val="22"/>
        </w:rPr>
      </w:pPr>
    </w:p>
    <w:p w:rsidR="00BC0DC7" w:rsidRPr="009B4390" w:rsidRDefault="00BC0DC7" w:rsidP="00996094">
      <w:pPr>
        <w:ind w:left="705"/>
        <w:rPr>
          <w:rFonts w:ascii="Verdana" w:hAnsi="Verdana"/>
          <w:sz w:val="22"/>
        </w:rPr>
      </w:pPr>
    </w:p>
    <w:p w:rsidR="00BC0DC7" w:rsidRPr="009B4390" w:rsidRDefault="00BC0DC7" w:rsidP="004D6404">
      <w:pPr>
        <w:numPr>
          <w:ilvl w:val="0"/>
          <w:numId w:val="21"/>
        </w:numPr>
        <w:rPr>
          <w:rFonts w:ascii="Verdana" w:hAnsi="Verdana"/>
          <w:b/>
          <w:sz w:val="22"/>
        </w:rPr>
      </w:pPr>
      <w:r w:rsidRPr="009B4390">
        <w:rPr>
          <w:rFonts w:ascii="Verdana" w:hAnsi="Verdana"/>
          <w:b/>
          <w:sz w:val="22"/>
        </w:rPr>
        <w:lastRenderedPageBreak/>
        <w:t>Samfunnsansvar.</w:t>
      </w:r>
    </w:p>
    <w:p w:rsidR="00BC0DC7" w:rsidRPr="009B4390" w:rsidRDefault="00BC0DC7" w:rsidP="0075586C">
      <w:pPr>
        <w:rPr>
          <w:rFonts w:ascii="Verdana" w:hAnsi="Verdana"/>
          <w:b/>
          <w:sz w:val="22"/>
        </w:rPr>
      </w:pPr>
    </w:p>
    <w:p w:rsidR="00BC0DC7" w:rsidRPr="009B4390" w:rsidRDefault="00BC0DC7" w:rsidP="004D6404">
      <w:pPr>
        <w:numPr>
          <w:ilvl w:val="0"/>
          <w:numId w:val="24"/>
        </w:numPr>
        <w:tabs>
          <w:tab w:val="left" w:pos="0"/>
        </w:tabs>
        <w:jc w:val="both"/>
        <w:rPr>
          <w:rFonts w:ascii="Verdana" w:hAnsi="Verdana"/>
          <w:i/>
          <w:sz w:val="22"/>
        </w:rPr>
      </w:pPr>
      <w:r w:rsidRPr="009B4390">
        <w:rPr>
          <w:rFonts w:ascii="Verdana" w:hAnsi="Verdana"/>
          <w:b/>
          <w:sz w:val="22"/>
        </w:rPr>
        <w:t>Etisk handel/barnearbeid</w:t>
      </w:r>
      <w:r w:rsidRPr="009B4390">
        <w:rPr>
          <w:rFonts w:ascii="Verdana" w:hAnsi="Verdana"/>
          <w:i/>
          <w:sz w:val="22"/>
        </w:rPr>
        <w:t>.</w:t>
      </w:r>
    </w:p>
    <w:p w:rsidR="00BC0DC7" w:rsidRPr="009B4390" w:rsidRDefault="00BC0DC7" w:rsidP="00757754">
      <w:pPr>
        <w:tabs>
          <w:tab w:val="left" w:pos="709"/>
        </w:tabs>
        <w:ind w:left="709"/>
        <w:rPr>
          <w:rFonts w:ascii="Verdana" w:hAnsi="Verdana"/>
          <w:sz w:val="22"/>
        </w:rPr>
      </w:pPr>
      <w:r w:rsidRPr="009B4390">
        <w:rPr>
          <w:rFonts w:ascii="Verdana" w:hAnsi="Verdana"/>
          <w:sz w:val="22"/>
        </w:rPr>
        <w:t>For anbud over EU-terskel (1 600 000.-) skal kommunene følge de nasjonale vilkårene for etisk handel. De etiske vilkårene skal synliggjøres gjennom konkurransegrunnlaget med krav om egenmelding om å handle i tråd med ILO’s 8 kjernekonvensjoner og FNs barnekonvensjon som er:</w:t>
      </w:r>
    </w:p>
    <w:p w:rsidR="00BC0DC7" w:rsidRPr="009B4390" w:rsidRDefault="00BC0DC7" w:rsidP="0075586C">
      <w:pPr>
        <w:ind w:left="705"/>
        <w:jc w:val="both"/>
        <w:rPr>
          <w:rFonts w:ascii="Verdana" w:hAnsi="Verdana"/>
          <w:sz w:val="22"/>
        </w:rPr>
      </w:pPr>
    </w:p>
    <w:p w:rsidR="00BC0DC7" w:rsidRPr="009B4390" w:rsidRDefault="00BC0DC7" w:rsidP="0075586C">
      <w:pPr>
        <w:numPr>
          <w:ilvl w:val="0"/>
          <w:numId w:val="2"/>
        </w:numPr>
        <w:jc w:val="both"/>
        <w:rPr>
          <w:rFonts w:ascii="Verdana" w:hAnsi="Verdana"/>
          <w:sz w:val="22"/>
        </w:rPr>
      </w:pPr>
      <w:r w:rsidRPr="009B4390">
        <w:rPr>
          <w:rFonts w:ascii="Verdana" w:hAnsi="Verdana"/>
          <w:sz w:val="22"/>
        </w:rPr>
        <w:t>Nr 29 og 105 – om forbud mot tvangsarbeid</w:t>
      </w:r>
    </w:p>
    <w:p w:rsidR="00BC0DC7" w:rsidRPr="009B4390" w:rsidRDefault="00BC0DC7" w:rsidP="0075586C">
      <w:pPr>
        <w:numPr>
          <w:ilvl w:val="0"/>
          <w:numId w:val="2"/>
        </w:numPr>
        <w:jc w:val="both"/>
        <w:rPr>
          <w:rFonts w:ascii="Verdana" w:hAnsi="Verdana"/>
          <w:sz w:val="22"/>
        </w:rPr>
      </w:pPr>
      <w:r w:rsidRPr="009B4390">
        <w:rPr>
          <w:rFonts w:ascii="Verdana" w:hAnsi="Verdana"/>
          <w:sz w:val="22"/>
        </w:rPr>
        <w:t>Nr 87 – om retten til å organisere seg</w:t>
      </w:r>
    </w:p>
    <w:p w:rsidR="00BC0DC7" w:rsidRPr="009B4390" w:rsidRDefault="00BC0DC7" w:rsidP="0075586C">
      <w:pPr>
        <w:numPr>
          <w:ilvl w:val="0"/>
          <w:numId w:val="2"/>
        </w:numPr>
        <w:jc w:val="both"/>
        <w:rPr>
          <w:rFonts w:ascii="Verdana" w:hAnsi="Verdana"/>
          <w:sz w:val="22"/>
        </w:rPr>
      </w:pPr>
      <w:r w:rsidRPr="009B4390">
        <w:rPr>
          <w:rFonts w:ascii="Verdana" w:hAnsi="Verdana"/>
          <w:sz w:val="22"/>
        </w:rPr>
        <w:t>Nr 98 – om retten til kollektive forhandlinger</w:t>
      </w:r>
    </w:p>
    <w:p w:rsidR="00BC0DC7" w:rsidRPr="009B4390" w:rsidRDefault="00BC0DC7" w:rsidP="0075586C">
      <w:pPr>
        <w:numPr>
          <w:ilvl w:val="0"/>
          <w:numId w:val="2"/>
        </w:numPr>
        <w:jc w:val="both"/>
        <w:rPr>
          <w:rFonts w:ascii="Verdana" w:hAnsi="Verdana"/>
          <w:sz w:val="22"/>
        </w:rPr>
      </w:pPr>
      <w:r w:rsidRPr="009B4390">
        <w:rPr>
          <w:rFonts w:ascii="Verdana" w:hAnsi="Verdana"/>
          <w:sz w:val="22"/>
        </w:rPr>
        <w:t>Nr 100 og 111 – om forbud mot forskjellsbehandling i arbeid og lønn</w:t>
      </w:r>
    </w:p>
    <w:p w:rsidR="00BC0DC7" w:rsidRPr="009B4390" w:rsidRDefault="00BC0DC7" w:rsidP="0075586C">
      <w:pPr>
        <w:numPr>
          <w:ilvl w:val="0"/>
          <w:numId w:val="2"/>
        </w:numPr>
        <w:jc w:val="both"/>
        <w:rPr>
          <w:rFonts w:ascii="Verdana" w:hAnsi="Verdana"/>
          <w:sz w:val="22"/>
        </w:rPr>
      </w:pPr>
      <w:r w:rsidRPr="009B4390">
        <w:rPr>
          <w:rFonts w:ascii="Verdana" w:hAnsi="Verdana"/>
          <w:sz w:val="22"/>
        </w:rPr>
        <w:t>Nr 138 – om fastsettelse av minstealder for å hindre barnearbeid.</w:t>
      </w:r>
    </w:p>
    <w:p w:rsidR="00BC0DC7" w:rsidRPr="009B4390" w:rsidRDefault="00BC0DC7" w:rsidP="0075586C">
      <w:pPr>
        <w:numPr>
          <w:ilvl w:val="0"/>
          <w:numId w:val="2"/>
        </w:numPr>
        <w:jc w:val="both"/>
        <w:rPr>
          <w:rFonts w:ascii="Verdana" w:hAnsi="Verdana"/>
          <w:sz w:val="22"/>
        </w:rPr>
      </w:pPr>
      <w:r w:rsidRPr="009B4390">
        <w:rPr>
          <w:rFonts w:ascii="Verdana" w:hAnsi="Verdana"/>
          <w:sz w:val="22"/>
        </w:rPr>
        <w:t>Nr 182 – om forbud mot de verste former for barnearbeid.</w:t>
      </w:r>
    </w:p>
    <w:p w:rsidR="00BC0DC7" w:rsidRPr="009B4390" w:rsidRDefault="00BC0DC7" w:rsidP="0075586C">
      <w:pPr>
        <w:numPr>
          <w:ilvl w:val="0"/>
          <w:numId w:val="2"/>
        </w:numPr>
        <w:jc w:val="both"/>
        <w:rPr>
          <w:rFonts w:ascii="Verdana" w:hAnsi="Verdana"/>
          <w:sz w:val="22"/>
        </w:rPr>
      </w:pPr>
      <w:r w:rsidRPr="009B4390">
        <w:rPr>
          <w:rFonts w:ascii="Verdana" w:hAnsi="Verdana"/>
          <w:sz w:val="22"/>
        </w:rPr>
        <w:t>FNs barnekonvensjon, artikkel 32 – om barns rett til beskyttelse fra økonomisk utnytting og rett til skolegang og personlig utvikling.</w:t>
      </w:r>
    </w:p>
    <w:p w:rsidR="00BC0DC7" w:rsidRPr="009B4390" w:rsidRDefault="00BC0DC7" w:rsidP="0075586C">
      <w:pPr>
        <w:ind w:left="1425"/>
        <w:jc w:val="both"/>
        <w:rPr>
          <w:rFonts w:ascii="Verdana" w:hAnsi="Verdana"/>
          <w:sz w:val="22"/>
        </w:rPr>
      </w:pPr>
    </w:p>
    <w:p w:rsidR="00BC0DC7" w:rsidRPr="009B4390" w:rsidRDefault="00BC0DC7" w:rsidP="001B0537">
      <w:pPr>
        <w:ind w:left="708"/>
        <w:rPr>
          <w:rFonts w:ascii="Verdana" w:hAnsi="Verdana"/>
          <w:sz w:val="22"/>
        </w:rPr>
      </w:pPr>
      <w:r w:rsidRPr="009B4390">
        <w:rPr>
          <w:rFonts w:ascii="Verdana" w:hAnsi="Verdana"/>
          <w:sz w:val="22"/>
        </w:rPr>
        <w:t>Egenerklæringen om ILO’s konvensjoner og FN’s barnekonvensjon skal tas inn i kontrakten og skal følges opp gjennom strukturerte oppfølgings-samtaler i avtaleperioden. Det kan foretas kontroller på produksjons-stedene. Kontrakten kan sies opp dersom brudd på konvensjonene ikke blir ordnet opp i til fastsatt tid.</w:t>
      </w:r>
    </w:p>
    <w:p w:rsidR="00BC0DC7" w:rsidRPr="009B4390" w:rsidRDefault="00BC0DC7" w:rsidP="0075586C">
      <w:pPr>
        <w:ind w:left="1425"/>
        <w:jc w:val="both"/>
        <w:rPr>
          <w:rFonts w:ascii="Verdana" w:hAnsi="Verdana"/>
          <w:sz w:val="22"/>
        </w:rPr>
      </w:pPr>
    </w:p>
    <w:p w:rsidR="00BC0DC7" w:rsidRPr="009B4390" w:rsidRDefault="00BC0DC7" w:rsidP="004D6404">
      <w:pPr>
        <w:numPr>
          <w:ilvl w:val="0"/>
          <w:numId w:val="27"/>
        </w:numPr>
        <w:rPr>
          <w:rFonts w:ascii="Verdana" w:hAnsi="Verdana"/>
          <w:b/>
          <w:sz w:val="22"/>
        </w:rPr>
      </w:pPr>
      <w:r w:rsidRPr="009B4390">
        <w:rPr>
          <w:rFonts w:ascii="Verdana" w:hAnsi="Verdana"/>
          <w:b/>
          <w:sz w:val="22"/>
        </w:rPr>
        <w:t>Lønns- og arbeidsvilkår</w:t>
      </w:r>
    </w:p>
    <w:p w:rsidR="00BC0DC7" w:rsidRPr="009B4390" w:rsidRDefault="00BC0DC7" w:rsidP="0075586C">
      <w:pPr>
        <w:ind w:left="709"/>
        <w:jc w:val="both"/>
        <w:rPr>
          <w:rFonts w:ascii="Verdana" w:hAnsi="Verdana"/>
          <w:sz w:val="22"/>
        </w:rPr>
      </w:pPr>
      <w:r w:rsidRPr="009B4390">
        <w:rPr>
          <w:rFonts w:ascii="Verdana" w:hAnsi="Verdana"/>
          <w:sz w:val="22"/>
        </w:rPr>
        <w:t>Kommunen skal i kontrakter som gjelder tjenester og bygg og anlegg ta inn FOR-2008-02-08-112: Lønns- og arbeidsvilkår i offentlige kontrakter.</w:t>
      </w:r>
    </w:p>
    <w:p w:rsidR="00BC0DC7" w:rsidRPr="009B4390" w:rsidRDefault="00BC0DC7" w:rsidP="0075586C">
      <w:pPr>
        <w:tabs>
          <w:tab w:val="left" w:pos="3870"/>
        </w:tabs>
        <w:ind w:left="1425" w:hanging="716"/>
        <w:jc w:val="both"/>
        <w:rPr>
          <w:rFonts w:ascii="Verdana" w:hAnsi="Verdana"/>
          <w:sz w:val="22"/>
        </w:rPr>
      </w:pPr>
    </w:p>
    <w:p w:rsidR="00BC0DC7" w:rsidRPr="009B4390" w:rsidRDefault="00BC0DC7" w:rsidP="004D6404">
      <w:pPr>
        <w:numPr>
          <w:ilvl w:val="0"/>
          <w:numId w:val="29"/>
        </w:numPr>
        <w:tabs>
          <w:tab w:val="left" w:pos="0"/>
        </w:tabs>
        <w:jc w:val="both"/>
        <w:rPr>
          <w:rFonts w:ascii="Verdana" w:hAnsi="Verdana"/>
          <w:b/>
          <w:sz w:val="22"/>
        </w:rPr>
      </w:pPr>
      <w:r w:rsidRPr="009B4390">
        <w:rPr>
          <w:rFonts w:ascii="Verdana" w:hAnsi="Verdana"/>
          <w:b/>
          <w:sz w:val="22"/>
        </w:rPr>
        <w:t xml:space="preserve">Egenerklæring om vandel. </w:t>
      </w:r>
    </w:p>
    <w:p w:rsidR="00BC0DC7" w:rsidRPr="009B4390" w:rsidRDefault="00BC0DC7" w:rsidP="004D6404">
      <w:pPr>
        <w:tabs>
          <w:tab w:val="left" w:pos="720"/>
        </w:tabs>
        <w:ind w:left="708"/>
        <w:jc w:val="both"/>
        <w:rPr>
          <w:rFonts w:ascii="Verdana" w:hAnsi="Verdana"/>
          <w:sz w:val="22"/>
        </w:rPr>
      </w:pPr>
      <w:r w:rsidRPr="009B4390">
        <w:rPr>
          <w:rFonts w:ascii="Verdana" w:hAnsi="Verdana"/>
          <w:sz w:val="22"/>
        </w:rPr>
        <w:t>Oppdragsgiver skal ta inn erklæring om vandel ved alle anbud. Denne egenerklæringen skal leveres sammen med tilbudspapirene.</w:t>
      </w:r>
    </w:p>
    <w:p w:rsidR="00BC0DC7" w:rsidRPr="009B4390" w:rsidRDefault="00BC0DC7" w:rsidP="0075586C">
      <w:pPr>
        <w:ind w:left="708"/>
        <w:jc w:val="both"/>
        <w:rPr>
          <w:rFonts w:ascii="Verdana" w:hAnsi="Verdana"/>
          <w:sz w:val="22"/>
        </w:rPr>
      </w:pPr>
    </w:p>
    <w:p w:rsidR="00BC0DC7" w:rsidRPr="009B4390" w:rsidRDefault="00BC0DC7" w:rsidP="004D6404">
      <w:pPr>
        <w:numPr>
          <w:ilvl w:val="0"/>
          <w:numId w:val="32"/>
        </w:numPr>
        <w:tabs>
          <w:tab w:val="left" w:pos="0"/>
        </w:tabs>
        <w:jc w:val="both"/>
        <w:rPr>
          <w:rFonts w:ascii="Verdana" w:hAnsi="Verdana"/>
          <w:b/>
          <w:sz w:val="22"/>
        </w:rPr>
      </w:pPr>
      <w:r w:rsidRPr="009B4390">
        <w:rPr>
          <w:rFonts w:ascii="Verdana" w:hAnsi="Verdana"/>
          <w:b/>
          <w:sz w:val="22"/>
        </w:rPr>
        <w:t>Miljøkrav</w:t>
      </w:r>
    </w:p>
    <w:p w:rsidR="00BC0DC7" w:rsidRPr="009B4390" w:rsidRDefault="00BC0DC7" w:rsidP="0075586C">
      <w:pPr>
        <w:overflowPunct/>
        <w:ind w:left="709"/>
        <w:textAlignment w:val="auto"/>
        <w:rPr>
          <w:rFonts w:ascii="Verdana" w:hAnsi="Verdana"/>
          <w:sz w:val="22"/>
        </w:rPr>
      </w:pPr>
      <w:r w:rsidRPr="009B4390">
        <w:rPr>
          <w:rFonts w:ascii="Verdana" w:hAnsi="Verdana"/>
          <w:sz w:val="22"/>
        </w:rPr>
        <w:t xml:space="preserve">Anskaffelser skal være i tråd med vedtatt miljøpolitikk av kommunen.  Miljøkrav skal være basert på anerkjente standarder - eksempelvis baseres på krav i ISO 1400, Miljøledelsessystemet EMAS eller Miljøfyrtårnsertifisering. </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 xml:space="preserve">Anskaffelsesvirksomheten skal være miljøeffektiv og ta ansvar for miljø og bærekraft. Anskaffelser skal bidra til å påvirke leverandør- og produktutvikling i en miljøriktig retning. </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Ved planlegging av den enkelte anskaffelse skal det tas hensyn til anskaffelsens livssykluskostnader og miljømessige konsekvenser.</w:t>
      </w:r>
    </w:p>
    <w:p w:rsidR="00BC0DC7" w:rsidRPr="009B4390" w:rsidRDefault="00BC0DC7" w:rsidP="0075586C">
      <w:pPr>
        <w:overflowPunct/>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 xml:space="preserve">Miljøhensyn skal, der det er mulig og relevant for anskaffelsen og ikke medfører åpenbare ulemper, inngå som et </w:t>
      </w:r>
      <w:r w:rsidRPr="009B4390">
        <w:rPr>
          <w:rFonts w:ascii="Verdana" w:hAnsi="Verdana"/>
          <w:b/>
          <w:sz w:val="22"/>
        </w:rPr>
        <w:t>tildelingskriterium</w:t>
      </w:r>
      <w:r w:rsidRPr="009B4390">
        <w:rPr>
          <w:rFonts w:ascii="Verdana" w:hAnsi="Verdana"/>
          <w:sz w:val="22"/>
        </w:rPr>
        <w:t>.</w:t>
      </w:r>
    </w:p>
    <w:p w:rsidR="00BC0DC7" w:rsidRPr="009B4390" w:rsidRDefault="00BC0DC7" w:rsidP="0075586C">
      <w:pPr>
        <w:overflowPunct/>
        <w:ind w:left="709"/>
        <w:textAlignment w:val="auto"/>
        <w:rPr>
          <w:rFonts w:ascii="Verdana" w:hAnsi="Verdana"/>
          <w:sz w:val="22"/>
        </w:rPr>
      </w:pPr>
      <w:r w:rsidRPr="009B4390">
        <w:rPr>
          <w:rFonts w:ascii="Verdana" w:hAnsi="Verdana"/>
          <w:sz w:val="22"/>
        </w:rPr>
        <w:t>Miljøkriteriet bør vektes med minimum 5 % av total vekting.</w:t>
      </w:r>
    </w:p>
    <w:p w:rsidR="00BC0DC7" w:rsidRPr="009B4390" w:rsidRDefault="00BC0DC7" w:rsidP="0075586C">
      <w:pPr>
        <w:overflowPunct/>
        <w:ind w:left="709"/>
        <w:textAlignment w:val="auto"/>
        <w:rPr>
          <w:rFonts w:ascii="Verdana" w:hAnsi="Verdana"/>
          <w:sz w:val="22"/>
        </w:rPr>
      </w:pPr>
      <w:r w:rsidRPr="009B4390">
        <w:rPr>
          <w:rFonts w:ascii="Verdana" w:hAnsi="Verdana"/>
          <w:sz w:val="22"/>
        </w:rPr>
        <w:t xml:space="preserve">Miljøkrav skal, der det er relevant for anskaffelsen, innarbeides i </w:t>
      </w:r>
      <w:r w:rsidRPr="009B4390">
        <w:rPr>
          <w:rFonts w:ascii="Verdana" w:hAnsi="Verdana"/>
          <w:b/>
          <w:sz w:val="22"/>
        </w:rPr>
        <w:t>kravspesifikasjoner,</w:t>
      </w:r>
      <w:r w:rsidRPr="009B4390">
        <w:rPr>
          <w:rFonts w:ascii="Verdana" w:hAnsi="Verdana"/>
          <w:sz w:val="22"/>
        </w:rPr>
        <w:t xml:space="preserve"> normer og beskrivelser. Produkter med positiv miljømerking, miljøvaredeklarasjoner eller lignende skal beskrives der det er relevant.</w:t>
      </w:r>
    </w:p>
    <w:p w:rsidR="00BC0DC7" w:rsidRPr="009B4390" w:rsidRDefault="00BC0DC7" w:rsidP="0075586C">
      <w:pPr>
        <w:overflowPunct/>
        <w:ind w:left="709"/>
        <w:textAlignment w:val="auto"/>
        <w:rPr>
          <w:rFonts w:ascii="Verdana" w:hAnsi="Verdana"/>
          <w:i/>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lastRenderedPageBreak/>
        <w:t>Miljøkrav skal være leverandørutviklende og gi tydelige signaler til markedet om at miljøtilpassing er et kundekrav</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a)Anskaffelsen skal stille krav til leverandørenes miljøkvalifikasjoner og prestasjoner. En tilbyder som ikke oppfyller miljøkrav ved kontrakts-inngåelse gis anledning til å oppfylle krav i løpet av en fastsatt tidsperiode.</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b) miljøkrav skal tilpasses den aktuelle bransje, og bransjen gis anledning til å uttale seg</w:t>
      </w:r>
    </w:p>
    <w:p w:rsidR="00BC0DC7" w:rsidRPr="009B4390" w:rsidRDefault="00BC0DC7" w:rsidP="0075586C">
      <w:pPr>
        <w:overflowPunct/>
        <w:textAlignment w:val="auto"/>
        <w:rPr>
          <w:rFonts w:ascii="Verdana" w:hAnsi="Verdana"/>
          <w:i/>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Kommunene skal tilstrebe kostnads- og miljøeffektive anskaffelser, det vil si anskaffelser som gir høy grad av behovstilfredsstillelse, og samtidig lav miljøbelastning gjennom hele livsløpet. I tilfeller hvor miljøhensyn ikke innarbeides på grunn av budsjettmessige forhold, skal dette begrunnes. Konsekvenser for enhetens oppfyllelse av egne miljømål skal beskrives.</w:t>
      </w:r>
    </w:p>
    <w:p w:rsidR="00BC0DC7" w:rsidRPr="009B4390" w:rsidRDefault="00BC0DC7" w:rsidP="0075586C">
      <w:pPr>
        <w:overflowPunct/>
        <w:textAlignment w:val="auto"/>
        <w:rPr>
          <w:rFonts w:ascii="Verdana" w:hAnsi="Verdana"/>
          <w:i/>
          <w:sz w:val="22"/>
        </w:rPr>
      </w:pPr>
    </w:p>
    <w:p w:rsidR="00BC0DC7" w:rsidRPr="009B4390" w:rsidRDefault="00BC0DC7" w:rsidP="0075586C">
      <w:pPr>
        <w:overflowPunct/>
        <w:textAlignment w:val="auto"/>
        <w:rPr>
          <w:rFonts w:ascii="Verdana" w:hAnsi="Verdana"/>
          <w:b/>
          <w:sz w:val="22"/>
        </w:rPr>
      </w:pPr>
      <w:r w:rsidRPr="009B4390">
        <w:rPr>
          <w:rFonts w:ascii="Verdana" w:hAnsi="Verdana"/>
          <w:b/>
          <w:sz w:val="22"/>
        </w:rPr>
        <w:t xml:space="preserve">5.5 </w:t>
      </w:r>
      <w:r w:rsidRPr="009B4390">
        <w:rPr>
          <w:rFonts w:ascii="Verdana" w:hAnsi="Verdana"/>
          <w:b/>
          <w:sz w:val="22"/>
        </w:rPr>
        <w:tab/>
        <w:t>UNIVERSELL UTFORMING</w:t>
      </w:r>
    </w:p>
    <w:p w:rsidR="00BC0DC7" w:rsidRPr="009B4390" w:rsidRDefault="00BC0DC7" w:rsidP="0075586C">
      <w:pPr>
        <w:overflowPunct/>
        <w:ind w:left="709"/>
        <w:textAlignment w:val="auto"/>
        <w:rPr>
          <w:rFonts w:ascii="Verdana" w:hAnsi="Verdana"/>
          <w:sz w:val="22"/>
        </w:rPr>
      </w:pPr>
      <w:r w:rsidRPr="009B4390">
        <w:rPr>
          <w:rFonts w:ascii="Verdana" w:hAnsi="Verdana"/>
          <w:sz w:val="22"/>
        </w:rPr>
        <w:t>Universell utforming er en strategi for planlegging og utforming av omgivelsene.</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Verdigrunnlaget for universell utforming vil være å legge til rette for at alle skal ha like muligheter for personlig utvikling, samfunnsdeltakelse og livsutfoldelse. Dette stiller krav til planlegging, oppfølging, gjennomføring og evaluering med hensyn til anskaffelser. Universell utforming er viktig i enkelte anskaffelser og tildelingskriteriet funksjonalitet er det mest korrekte å bruke i denne sammenheng.</w:t>
      </w:r>
    </w:p>
    <w:p w:rsidR="00BC0DC7" w:rsidRPr="009B4390" w:rsidRDefault="00BC0DC7" w:rsidP="0075586C">
      <w:pPr>
        <w:overflowPunct/>
        <w:ind w:left="709"/>
        <w:textAlignment w:val="auto"/>
        <w:rPr>
          <w:rFonts w:ascii="Verdana" w:hAnsi="Verdana"/>
          <w:sz w:val="22"/>
        </w:rPr>
      </w:pPr>
    </w:p>
    <w:p w:rsidR="00BC0DC7" w:rsidRPr="009B4390" w:rsidRDefault="00BC0DC7" w:rsidP="0075586C">
      <w:pPr>
        <w:overflowPunct/>
        <w:ind w:left="709"/>
        <w:textAlignment w:val="auto"/>
        <w:rPr>
          <w:rFonts w:ascii="Verdana" w:hAnsi="Verdana"/>
          <w:sz w:val="22"/>
        </w:rPr>
      </w:pPr>
      <w:r w:rsidRPr="009B4390">
        <w:rPr>
          <w:rFonts w:ascii="Verdana" w:hAnsi="Verdana"/>
          <w:sz w:val="22"/>
        </w:rPr>
        <w:t>Gode medvirkningsprosesser er viktig for å bringe fram mangfoldet fra brukergruppene. Det tas hensyn til mennesker i alle aldersgrupper og med ulike ferdigheter, kapasitet eller følsomhet i forhold til bevegelse, syn, hørsel, forståelse og miljø (astma/allergi). Ved å ta hensyn til disse brukergruppenes behov vil dette gi økt brukervennlighet for alle.</w:t>
      </w:r>
    </w:p>
    <w:p w:rsidR="00BC0DC7" w:rsidRPr="009B4390" w:rsidRDefault="00BC0DC7" w:rsidP="0075586C">
      <w:pPr>
        <w:ind w:left="708"/>
        <w:rPr>
          <w:rFonts w:ascii="Verdana" w:hAnsi="Verdana"/>
          <w:b/>
          <w:sz w:val="22"/>
        </w:rPr>
      </w:pPr>
    </w:p>
    <w:p w:rsidR="00BC0DC7" w:rsidRPr="009B4390" w:rsidRDefault="00BC0DC7" w:rsidP="0075586C">
      <w:pPr>
        <w:rPr>
          <w:rFonts w:ascii="Verdana" w:hAnsi="Verdana"/>
          <w:b/>
          <w:i/>
          <w:sz w:val="22"/>
        </w:rPr>
      </w:pPr>
      <w:r w:rsidRPr="009B4390">
        <w:rPr>
          <w:rFonts w:ascii="Verdana" w:hAnsi="Verdana"/>
          <w:b/>
          <w:i/>
          <w:sz w:val="22"/>
        </w:rPr>
        <w:t>Styringsdokumenter:</w:t>
      </w:r>
    </w:p>
    <w:p w:rsidR="00BC0DC7" w:rsidRPr="009B4390" w:rsidRDefault="00BC0DC7" w:rsidP="0075586C">
      <w:pPr>
        <w:rPr>
          <w:rFonts w:ascii="Verdana" w:hAnsi="Verdana"/>
          <w:i/>
          <w:sz w:val="22"/>
        </w:rPr>
      </w:pPr>
    </w:p>
    <w:p w:rsidR="00BC0DC7" w:rsidRPr="009B4390" w:rsidRDefault="00BC0DC7" w:rsidP="0075586C">
      <w:pPr>
        <w:rPr>
          <w:rFonts w:ascii="Verdana" w:hAnsi="Verdana"/>
          <w:i/>
          <w:sz w:val="22"/>
        </w:rPr>
      </w:pPr>
      <w:r w:rsidRPr="009B4390">
        <w:rPr>
          <w:rFonts w:ascii="Verdana" w:hAnsi="Verdana"/>
          <w:i/>
          <w:sz w:val="22"/>
        </w:rPr>
        <w:t>Lov om offentlige anskaffelser (LOA)</w:t>
      </w:r>
    </w:p>
    <w:p w:rsidR="00BC0DC7" w:rsidRPr="009B4390" w:rsidRDefault="00BC0DC7" w:rsidP="0075586C">
      <w:pPr>
        <w:rPr>
          <w:rFonts w:ascii="Verdana" w:hAnsi="Verdana"/>
          <w:i/>
          <w:sz w:val="22"/>
        </w:rPr>
      </w:pPr>
      <w:r w:rsidRPr="009B4390">
        <w:rPr>
          <w:rFonts w:ascii="Verdana" w:hAnsi="Verdana"/>
          <w:i/>
          <w:sz w:val="22"/>
        </w:rPr>
        <w:t>Forskrift om offentlige anskaffelser (FOA)</w:t>
      </w:r>
    </w:p>
    <w:p w:rsidR="00BC0DC7" w:rsidRPr="009B4390" w:rsidRDefault="00BC0DC7" w:rsidP="0075586C">
      <w:pPr>
        <w:rPr>
          <w:rFonts w:ascii="Verdana" w:hAnsi="Verdana"/>
          <w:i/>
          <w:sz w:val="22"/>
        </w:rPr>
      </w:pPr>
      <w:r w:rsidRPr="009B4390">
        <w:rPr>
          <w:rFonts w:ascii="Verdana" w:hAnsi="Verdana"/>
          <w:i/>
          <w:sz w:val="22"/>
        </w:rPr>
        <w:t>Veileder om offentlige anskaffelser</w:t>
      </w:r>
    </w:p>
    <w:p w:rsidR="00BC0DC7" w:rsidRPr="009B4390" w:rsidRDefault="00BC0DC7" w:rsidP="0075586C">
      <w:pPr>
        <w:rPr>
          <w:rFonts w:ascii="Verdana" w:hAnsi="Verdana"/>
          <w:i/>
          <w:sz w:val="22"/>
        </w:rPr>
      </w:pPr>
      <w:r w:rsidRPr="009B4390">
        <w:rPr>
          <w:rFonts w:ascii="Verdana" w:hAnsi="Verdana"/>
          <w:i/>
          <w:sz w:val="22"/>
        </w:rPr>
        <w:t>Kommuneloven</w:t>
      </w:r>
    </w:p>
    <w:p w:rsidR="00BC0DC7" w:rsidRPr="009B4390" w:rsidRDefault="00BC0DC7" w:rsidP="0075586C">
      <w:pPr>
        <w:rPr>
          <w:rFonts w:ascii="Verdana" w:hAnsi="Verdana"/>
          <w:i/>
          <w:sz w:val="22"/>
        </w:rPr>
      </w:pPr>
      <w:r w:rsidRPr="009B4390">
        <w:rPr>
          <w:rFonts w:ascii="Verdana" w:hAnsi="Verdana"/>
          <w:i/>
          <w:sz w:val="22"/>
        </w:rPr>
        <w:t>Offentlighetsloven</w:t>
      </w:r>
    </w:p>
    <w:p w:rsidR="00BC0DC7" w:rsidRPr="009B4390" w:rsidRDefault="00BC0DC7" w:rsidP="0075586C">
      <w:pPr>
        <w:rPr>
          <w:rFonts w:ascii="Verdana" w:hAnsi="Verdana"/>
          <w:i/>
          <w:sz w:val="22"/>
        </w:rPr>
      </w:pPr>
      <w:r w:rsidRPr="009B4390">
        <w:rPr>
          <w:rFonts w:ascii="Verdana" w:hAnsi="Verdana"/>
          <w:i/>
          <w:sz w:val="22"/>
        </w:rPr>
        <w:t>Forvaltningsloven</w:t>
      </w:r>
    </w:p>
    <w:p w:rsidR="00BC0DC7" w:rsidRPr="009B4390" w:rsidRDefault="00BC0DC7" w:rsidP="0075586C">
      <w:pPr>
        <w:rPr>
          <w:rFonts w:ascii="Verdana" w:hAnsi="Verdana"/>
          <w:i/>
          <w:sz w:val="22"/>
        </w:rPr>
      </w:pPr>
      <w:r w:rsidRPr="009B4390">
        <w:rPr>
          <w:rFonts w:ascii="Verdana" w:hAnsi="Verdana"/>
          <w:i/>
          <w:sz w:val="22"/>
        </w:rPr>
        <w:t>Åndsverksloven</w:t>
      </w:r>
    </w:p>
    <w:p w:rsidR="00BC0DC7" w:rsidRPr="009B4390" w:rsidRDefault="00BC0DC7" w:rsidP="0075586C">
      <w:pPr>
        <w:rPr>
          <w:rFonts w:ascii="Verdana" w:hAnsi="Verdana"/>
          <w:i/>
          <w:sz w:val="22"/>
        </w:rPr>
      </w:pPr>
    </w:p>
    <w:p w:rsidR="00BC0DC7" w:rsidRPr="009B4390" w:rsidRDefault="00BC0DC7" w:rsidP="0075586C">
      <w:pPr>
        <w:rPr>
          <w:rFonts w:ascii="Verdana" w:hAnsi="Verdana"/>
          <w:b/>
          <w:i/>
          <w:sz w:val="22"/>
        </w:rPr>
      </w:pPr>
      <w:r w:rsidRPr="009B4390">
        <w:rPr>
          <w:rFonts w:ascii="Verdana" w:hAnsi="Verdana"/>
          <w:b/>
          <w:i/>
          <w:sz w:val="22"/>
        </w:rPr>
        <w:t>Maler:</w:t>
      </w:r>
    </w:p>
    <w:p w:rsidR="00BC0DC7" w:rsidRPr="009B4390" w:rsidRDefault="00BC0DC7" w:rsidP="0075586C">
      <w:pPr>
        <w:rPr>
          <w:rFonts w:ascii="Verdana" w:hAnsi="Verdana"/>
          <w:i/>
          <w:sz w:val="22"/>
        </w:rPr>
      </w:pPr>
      <w:r w:rsidRPr="009B4390">
        <w:rPr>
          <w:rFonts w:ascii="Verdana" w:hAnsi="Verdana"/>
          <w:i/>
          <w:sz w:val="22"/>
        </w:rPr>
        <w:t xml:space="preserve">Protokoller </w:t>
      </w:r>
    </w:p>
    <w:p w:rsidR="00BC0DC7" w:rsidRPr="009B4390" w:rsidRDefault="00BC0DC7" w:rsidP="0075586C">
      <w:pPr>
        <w:rPr>
          <w:rFonts w:ascii="Verdana" w:hAnsi="Verdana"/>
          <w:i/>
          <w:sz w:val="22"/>
        </w:rPr>
      </w:pPr>
      <w:r w:rsidRPr="009B4390">
        <w:rPr>
          <w:rFonts w:ascii="Verdana" w:hAnsi="Verdana"/>
          <w:i/>
          <w:sz w:val="22"/>
        </w:rPr>
        <w:t>Konkurransegrunnlag</w:t>
      </w:r>
    </w:p>
    <w:p w:rsidR="00BC0DC7" w:rsidRPr="009B4390" w:rsidRDefault="00BC0DC7" w:rsidP="0075586C">
      <w:pPr>
        <w:rPr>
          <w:rFonts w:ascii="Verdana" w:hAnsi="Verdana"/>
          <w:i/>
          <w:sz w:val="22"/>
        </w:rPr>
      </w:pPr>
      <w:r w:rsidRPr="009B4390">
        <w:rPr>
          <w:rFonts w:ascii="Verdana" w:hAnsi="Verdana"/>
          <w:i/>
          <w:sz w:val="22"/>
        </w:rPr>
        <w:t>Kontrakter og standardvilkår</w:t>
      </w:r>
    </w:p>
    <w:p w:rsidR="00BC0DC7" w:rsidRPr="0052687C" w:rsidRDefault="00BC0DC7"/>
    <w:sectPr w:rsidR="00BC0DC7" w:rsidRPr="0052687C" w:rsidSect="0075586C">
      <w:footerReference w:type="default" r:id="rId13"/>
      <w:footerReference w:type="first" r:id="rId14"/>
      <w:pgSz w:w="11907" w:h="16840" w:code="9"/>
      <w:pgMar w:top="1304" w:right="1418" w:bottom="1304" w:left="1418" w:header="708" w:footer="708" w:gutter="0"/>
      <w:paperSrc w:first="1" w:other="1"/>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DC7" w:rsidRDefault="00BC0DC7">
      <w:r>
        <w:separator/>
      </w:r>
    </w:p>
  </w:endnote>
  <w:endnote w:type="continuationSeparator" w:id="0">
    <w:p w:rsidR="00BC0DC7" w:rsidRDefault="00BC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DC7" w:rsidRDefault="00DD184A" w:rsidP="0075586C">
    <w:pPr>
      <w:pStyle w:val="Bunntekst"/>
      <w:jc w:val="center"/>
    </w:pPr>
    <w:r w:rsidRPr="005F19F8">
      <w:rPr>
        <w:b/>
        <w:sz w:val="24"/>
        <w:szCs w:val="24"/>
      </w:rPr>
      <w:fldChar w:fldCharType="begin"/>
    </w:r>
    <w:r w:rsidR="00BC0DC7" w:rsidRPr="005F19F8">
      <w:rPr>
        <w:b/>
        <w:sz w:val="24"/>
        <w:szCs w:val="24"/>
      </w:rPr>
      <w:instrText xml:space="preserve"> PAGE   \* MERGEFORMAT </w:instrText>
    </w:r>
    <w:r w:rsidRPr="005F19F8">
      <w:rPr>
        <w:b/>
        <w:sz w:val="24"/>
        <w:szCs w:val="24"/>
      </w:rPr>
      <w:fldChar w:fldCharType="separate"/>
    </w:r>
    <w:r w:rsidR="000106CB">
      <w:rPr>
        <w:b/>
        <w:noProof/>
        <w:sz w:val="24"/>
        <w:szCs w:val="24"/>
      </w:rPr>
      <w:t>6</w:t>
    </w:r>
    <w:r w:rsidRPr="005F19F8">
      <w:rPr>
        <w:b/>
        <w:sz w:val="24"/>
        <w:szCs w:val="24"/>
      </w:rPr>
      <w:fldChar w:fldCharType="end"/>
    </w:r>
  </w:p>
  <w:p w:rsidR="00BC0DC7" w:rsidRDefault="00BC0DC7" w:rsidP="0075586C">
    <w:pPr>
      <w:pStyle w:val="Bunntekst"/>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DC7" w:rsidRDefault="00BC0DC7">
    <w:pPr>
      <w:pStyle w:val="Bunntekst"/>
      <w:jc w:val="center"/>
    </w:pPr>
  </w:p>
  <w:p w:rsidR="00BC0DC7" w:rsidRDefault="00BC0DC7">
    <w:pPr>
      <w:pStyle w:val="Bunn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DC7" w:rsidRDefault="00BC0DC7">
      <w:r>
        <w:separator/>
      </w:r>
    </w:p>
  </w:footnote>
  <w:footnote w:type="continuationSeparator" w:id="0">
    <w:p w:rsidR="00BC0DC7" w:rsidRDefault="00BC0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D6B"/>
    <w:multiLevelType w:val="multilevel"/>
    <w:tmpl w:val="7F8CC25C"/>
    <w:lvl w:ilvl="0">
      <w:start w:val="1"/>
      <w:numFmt w:val="decimal"/>
      <w:lvlText w:val="%1.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33662F2"/>
    <w:multiLevelType w:val="multilevel"/>
    <w:tmpl w:val="154EA868"/>
    <w:lvl w:ilvl="0">
      <w:start w:val="1"/>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DBB730F"/>
    <w:multiLevelType w:val="multilevel"/>
    <w:tmpl w:val="D34200A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
    <w:nsid w:val="1212614F"/>
    <w:multiLevelType w:val="multilevel"/>
    <w:tmpl w:val="7ADCC532"/>
    <w:lvl w:ilvl="0">
      <w:start w:val="5"/>
      <w:numFmt w:val="decimal"/>
      <w:lvlText w:val="%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131253F0"/>
    <w:multiLevelType w:val="multilevel"/>
    <w:tmpl w:val="CB0E812C"/>
    <w:lvl w:ilvl="0">
      <w:start w:val="5"/>
      <w:numFmt w:val="decimal"/>
      <w:lvlText w:val="%1.1"/>
      <w:lvlJc w:val="left"/>
      <w:pPr>
        <w:tabs>
          <w:tab w:val="num" w:pos="360"/>
        </w:tabs>
        <w:ind w:left="360" w:hanging="360"/>
      </w:pPr>
      <w:rPr>
        <w:rFonts w:cs="Times New Roman" w:hint="default"/>
        <w:b/>
        <w:i w:val="0"/>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1724788F"/>
    <w:multiLevelType w:val="multilevel"/>
    <w:tmpl w:val="6CFC649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7B073EA"/>
    <w:multiLevelType w:val="multilevel"/>
    <w:tmpl w:val="6B36719A"/>
    <w:lvl w:ilvl="0">
      <w:start w:val="5"/>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228324FB"/>
    <w:multiLevelType w:val="multilevel"/>
    <w:tmpl w:val="F348B930"/>
    <w:lvl w:ilvl="0">
      <w:start w:val="5"/>
      <w:numFmt w:val="decimal"/>
      <w:lvlText w:val="%1.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nsid w:val="243B12BA"/>
    <w:multiLevelType w:val="multilevel"/>
    <w:tmpl w:val="3678057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65C4633"/>
    <w:multiLevelType w:val="hybridMultilevel"/>
    <w:tmpl w:val="B344CC1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nsid w:val="28284C4A"/>
    <w:multiLevelType w:val="multilevel"/>
    <w:tmpl w:val="5CACB380"/>
    <w:lvl w:ilvl="0">
      <w:start w:val="1"/>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29C10AEC"/>
    <w:multiLevelType w:val="multilevel"/>
    <w:tmpl w:val="53B6DBFE"/>
    <w:lvl w:ilvl="0">
      <w:start w:val="1"/>
      <w:numFmt w:val="none"/>
      <w:lvlText w:val="5.4"/>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2F435917"/>
    <w:multiLevelType w:val="multilevel"/>
    <w:tmpl w:val="1B3A081C"/>
    <w:lvl w:ilvl="0">
      <w:start w:val="2"/>
      <w:numFmt w:val="decimal"/>
      <w:lvlText w:val="%1"/>
      <w:lvlJc w:val="left"/>
      <w:pPr>
        <w:ind w:left="405" w:hanging="40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nsid w:val="304F722E"/>
    <w:multiLevelType w:val="multilevel"/>
    <w:tmpl w:val="5CACB380"/>
    <w:lvl w:ilvl="0">
      <w:start w:val="1"/>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39455964"/>
    <w:multiLevelType w:val="hybridMultilevel"/>
    <w:tmpl w:val="2B4A04A6"/>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5">
    <w:nsid w:val="4209139A"/>
    <w:multiLevelType w:val="multilevel"/>
    <w:tmpl w:val="D34200A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4AC11219"/>
    <w:multiLevelType w:val="multilevel"/>
    <w:tmpl w:val="33603776"/>
    <w:lvl w:ilvl="0">
      <w:start w:val="5"/>
      <w:numFmt w:val="decimal"/>
      <w:lvlText w:val="%1.2"/>
      <w:lvlJc w:val="left"/>
      <w:pPr>
        <w:tabs>
          <w:tab w:val="num" w:pos="360"/>
        </w:tabs>
        <w:ind w:left="360" w:hanging="360"/>
      </w:pPr>
      <w:rPr>
        <w:rFonts w:cs="Times New Roman" w:hint="default"/>
        <w:b/>
        <w:i w:val="0"/>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54E10511"/>
    <w:multiLevelType w:val="multilevel"/>
    <w:tmpl w:val="7A1E6F48"/>
    <w:lvl w:ilvl="0">
      <w:start w:val="1"/>
      <w:numFmt w:val="decimal"/>
      <w:lvlText w:val="%1.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552667D0"/>
    <w:multiLevelType w:val="multilevel"/>
    <w:tmpl w:val="0414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58C960A1"/>
    <w:multiLevelType w:val="multilevel"/>
    <w:tmpl w:val="C92AD416"/>
    <w:lvl w:ilvl="0">
      <w:start w:val="5"/>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5A715FE6"/>
    <w:multiLevelType w:val="multilevel"/>
    <w:tmpl w:val="0414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6243713A"/>
    <w:multiLevelType w:val="multilevel"/>
    <w:tmpl w:val="F348B930"/>
    <w:lvl w:ilvl="0">
      <w:start w:val="5"/>
      <w:numFmt w:val="decimal"/>
      <w:lvlText w:val="%1.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62E8295B"/>
    <w:multiLevelType w:val="multilevel"/>
    <w:tmpl w:val="154EA868"/>
    <w:lvl w:ilvl="0">
      <w:start w:val="1"/>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nsid w:val="634E04C8"/>
    <w:multiLevelType w:val="multilevel"/>
    <w:tmpl w:val="533C98B4"/>
    <w:lvl w:ilvl="0">
      <w:start w:val="1"/>
      <w:numFmt w:val="decimal"/>
      <w:lvlText w:val="%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65B9489F"/>
    <w:multiLevelType w:val="multilevel"/>
    <w:tmpl w:val="533C98B4"/>
    <w:lvl w:ilvl="0">
      <w:start w:val="1"/>
      <w:numFmt w:val="decimal"/>
      <w:lvlText w:val="%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nsid w:val="67050272"/>
    <w:multiLevelType w:val="multilevel"/>
    <w:tmpl w:val="2906252A"/>
    <w:lvl w:ilvl="0">
      <w:start w:val="1"/>
      <w:numFmt w:val="decimal"/>
      <w:lvlText w:val="%1.4"/>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nsid w:val="67184981"/>
    <w:multiLevelType w:val="multilevel"/>
    <w:tmpl w:val="E76240D6"/>
    <w:lvl w:ilvl="0">
      <w:start w:val="1"/>
      <w:numFmt w:val="decimal"/>
      <w:lvlText w:val="%1.1"/>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67597E5A"/>
    <w:multiLevelType w:val="multilevel"/>
    <w:tmpl w:val="154EA868"/>
    <w:lvl w:ilvl="0">
      <w:start w:val="1"/>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6E660934"/>
    <w:multiLevelType w:val="multilevel"/>
    <w:tmpl w:val="EAB84432"/>
    <w:lvl w:ilvl="0">
      <w:start w:val="5"/>
      <w:numFmt w:val="decimal"/>
      <w:lvlText w:val="%1.1"/>
      <w:lvlJc w:val="left"/>
      <w:pPr>
        <w:tabs>
          <w:tab w:val="num" w:pos="360"/>
        </w:tabs>
        <w:ind w:left="360" w:hanging="360"/>
      </w:pPr>
      <w:rPr>
        <w:rFonts w:cs="Times New Roman" w:hint="default"/>
        <w:b/>
        <w:i w:val="0"/>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nsid w:val="752B4E13"/>
    <w:multiLevelType w:val="multilevel"/>
    <w:tmpl w:val="6B36719A"/>
    <w:lvl w:ilvl="0">
      <w:start w:val="5"/>
      <w:numFmt w:val="decimal"/>
      <w:lvlText w:val="%1.3"/>
      <w:lvlJc w:val="left"/>
      <w:pPr>
        <w:tabs>
          <w:tab w:val="num" w:pos="360"/>
        </w:tabs>
        <w:ind w:left="360" w:hanging="360"/>
      </w:pPr>
      <w:rPr>
        <w:rFonts w:cs="Times New Roman" w:hint="default"/>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nsid w:val="78BB6422"/>
    <w:multiLevelType w:val="multilevel"/>
    <w:tmpl w:val="D34200A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nsid w:val="7F094DDD"/>
    <w:multiLevelType w:val="multilevel"/>
    <w:tmpl w:val="EAB84432"/>
    <w:lvl w:ilvl="0">
      <w:start w:val="5"/>
      <w:numFmt w:val="decimal"/>
      <w:lvlText w:val="%1.1"/>
      <w:lvlJc w:val="left"/>
      <w:pPr>
        <w:tabs>
          <w:tab w:val="num" w:pos="360"/>
        </w:tabs>
        <w:ind w:left="360" w:hanging="360"/>
      </w:pPr>
      <w:rPr>
        <w:rFonts w:cs="Times New Roman" w:hint="default"/>
        <w:b/>
        <w:i w:val="0"/>
      </w:rPr>
    </w:lvl>
    <w:lvl w:ilvl="1">
      <w:start w:val="1"/>
      <w:numFmt w:val="decimal"/>
      <w:lvlText w:val="%2.3."/>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14"/>
  </w:num>
  <w:num w:numId="3">
    <w:abstractNumId w:val="12"/>
  </w:num>
  <w:num w:numId="4">
    <w:abstractNumId w:val="9"/>
  </w:num>
  <w:num w:numId="5">
    <w:abstractNumId w:val="20"/>
  </w:num>
  <w:num w:numId="6">
    <w:abstractNumId w:val="5"/>
  </w:num>
  <w:num w:numId="7">
    <w:abstractNumId w:val="23"/>
  </w:num>
  <w:num w:numId="8">
    <w:abstractNumId w:val="18"/>
  </w:num>
  <w:num w:numId="9">
    <w:abstractNumId w:val="26"/>
  </w:num>
  <w:num w:numId="10">
    <w:abstractNumId w:val="24"/>
  </w:num>
  <w:num w:numId="11">
    <w:abstractNumId w:val="17"/>
  </w:num>
  <w:num w:numId="12">
    <w:abstractNumId w:val="2"/>
  </w:num>
  <w:num w:numId="13">
    <w:abstractNumId w:val="15"/>
  </w:num>
  <w:num w:numId="14">
    <w:abstractNumId w:val="30"/>
  </w:num>
  <w:num w:numId="15">
    <w:abstractNumId w:val="13"/>
  </w:num>
  <w:num w:numId="16">
    <w:abstractNumId w:val="0"/>
  </w:num>
  <w:num w:numId="17">
    <w:abstractNumId w:val="25"/>
  </w:num>
  <w:num w:numId="18">
    <w:abstractNumId w:val="10"/>
  </w:num>
  <w:num w:numId="19">
    <w:abstractNumId w:val="1"/>
  </w:num>
  <w:num w:numId="20">
    <w:abstractNumId w:val="27"/>
  </w:num>
  <w:num w:numId="21">
    <w:abstractNumId w:val="3"/>
  </w:num>
  <w:num w:numId="22">
    <w:abstractNumId w:val="22"/>
  </w:num>
  <w:num w:numId="23">
    <w:abstractNumId w:val="19"/>
  </w:num>
  <w:num w:numId="24">
    <w:abstractNumId w:val="28"/>
  </w:num>
  <w:num w:numId="25">
    <w:abstractNumId w:val="7"/>
  </w:num>
  <w:num w:numId="26">
    <w:abstractNumId w:val="31"/>
  </w:num>
  <w:num w:numId="27">
    <w:abstractNumId w:val="16"/>
  </w:num>
  <w:num w:numId="28">
    <w:abstractNumId w:val="4"/>
  </w:num>
  <w:num w:numId="29">
    <w:abstractNumId w:val="29"/>
  </w:num>
  <w:num w:numId="30">
    <w:abstractNumId w:val="21"/>
  </w:num>
  <w:num w:numId="31">
    <w:abstractNumId w:val="6"/>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75586C"/>
    <w:rsid w:val="000106CB"/>
    <w:rsid w:val="000A7AB3"/>
    <w:rsid w:val="00145AB2"/>
    <w:rsid w:val="00175705"/>
    <w:rsid w:val="001B0537"/>
    <w:rsid w:val="001F3887"/>
    <w:rsid w:val="00217E33"/>
    <w:rsid w:val="002A7AAB"/>
    <w:rsid w:val="0036047C"/>
    <w:rsid w:val="003848E9"/>
    <w:rsid w:val="00385867"/>
    <w:rsid w:val="003A460A"/>
    <w:rsid w:val="003C7CA9"/>
    <w:rsid w:val="003E5637"/>
    <w:rsid w:val="003F2375"/>
    <w:rsid w:val="003F5537"/>
    <w:rsid w:val="00421FF5"/>
    <w:rsid w:val="004B727A"/>
    <w:rsid w:val="004D6404"/>
    <w:rsid w:val="0052687C"/>
    <w:rsid w:val="005544BB"/>
    <w:rsid w:val="005A30D0"/>
    <w:rsid w:val="005B1F74"/>
    <w:rsid w:val="005B4012"/>
    <w:rsid w:val="005F19F8"/>
    <w:rsid w:val="005F7A41"/>
    <w:rsid w:val="00616C98"/>
    <w:rsid w:val="0066695E"/>
    <w:rsid w:val="006942B7"/>
    <w:rsid w:val="006E39E9"/>
    <w:rsid w:val="006F3245"/>
    <w:rsid w:val="00734220"/>
    <w:rsid w:val="0075586C"/>
    <w:rsid w:val="00757754"/>
    <w:rsid w:val="00761F4A"/>
    <w:rsid w:val="008269E7"/>
    <w:rsid w:val="008458FD"/>
    <w:rsid w:val="008C049C"/>
    <w:rsid w:val="008C2101"/>
    <w:rsid w:val="008E7D16"/>
    <w:rsid w:val="0092072A"/>
    <w:rsid w:val="00996094"/>
    <w:rsid w:val="00996178"/>
    <w:rsid w:val="009B4390"/>
    <w:rsid w:val="009E0F6C"/>
    <w:rsid w:val="00A04B40"/>
    <w:rsid w:val="00A21A14"/>
    <w:rsid w:val="00AA1B27"/>
    <w:rsid w:val="00AA5471"/>
    <w:rsid w:val="00BB0CA4"/>
    <w:rsid w:val="00BC0DC7"/>
    <w:rsid w:val="00C33D65"/>
    <w:rsid w:val="00C72252"/>
    <w:rsid w:val="00CD25DF"/>
    <w:rsid w:val="00D43963"/>
    <w:rsid w:val="00D841CD"/>
    <w:rsid w:val="00DA4853"/>
    <w:rsid w:val="00DD184A"/>
    <w:rsid w:val="00DD6614"/>
    <w:rsid w:val="00E2224E"/>
    <w:rsid w:val="00E56C42"/>
    <w:rsid w:val="00E735A0"/>
    <w:rsid w:val="00EB146E"/>
    <w:rsid w:val="00F155BE"/>
    <w:rsid w:val="00F4127D"/>
    <w:rsid w:val="00F753F4"/>
    <w:rsid w:val="00FA5A1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6C"/>
    <w:pPr>
      <w:overflowPunct w:val="0"/>
      <w:autoSpaceDE w:val="0"/>
      <w:autoSpaceDN w:val="0"/>
      <w:adjustRightInd w:val="0"/>
      <w:textAlignment w:val="baseline"/>
    </w:pPr>
    <w:rPr>
      <w:sz w:val="20"/>
      <w:szCs w:val="20"/>
    </w:rPr>
  </w:style>
  <w:style w:type="paragraph" w:styleId="Overskrift1">
    <w:name w:val="heading 1"/>
    <w:basedOn w:val="Normal"/>
    <w:next w:val="Normal"/>
    <w:link w:val="Overskrift1Tegn"/>
    <w:uiPriority w:val="99"/>
    <w:qFormat/>
    <w:rsid w:val="0075586C"/>
    <w:pPr>
      <w:keepNext/>
      <w:jc w:val="center"/>
      <w:outlineLvl w:val="0"/>
    </w:pPr>
    <w:rPr>
      <w:b/>
      <w:sz w:val="40"/>
    </w:rPr>
  </w:style>
  <w:style w:type="paragraph" w:styleId="Overskrift2">
    <w:name w:val="heading 2"/>
    <w:basedOn w:val="Normal"/>
    <w:next w:val="Normal"/>
    <w:link w:val="Overskrift2Tegn"/>
    <w:uiPriority w:val="99"/>
    <w:qFormat/>
    <w:rsid w:val="0075586C"/>
    <w:pPr>
      <w:keepNext/>
      <w:outlineLvl w:val="1"/>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5B1F74"/>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sid w:val="005B1F74"/>
    <w:rPr>
      <w:rFonts w:ascii="Cambria" w:hAnsi="Cambria" w:cs="Times New Roman"/>
      <w:b/>
      <w:bCs/>
      <w:i/>
      <w:iCs/>
      <w:sz w:val="28"/>
      <w:szCs w:val="28"/>
    </w:rPr>
  </w:style>
  <w:style w:type="paragraph" w:styleId="Bunntekst">
    <w:name w:val="footer"/>
    <w:basedOn w:val="Normal"/>
    <w:link w:val="BunntekstTegn"/>
    <w:uiPriority w:val="99"/>
    <w:rsid w:val="0075586C"/>
    <w:pPr>
      <w:tabs>
        <w:tab w:val="center" w:pos="4819"/>
        <w:tab w:val="right" w:pos="9071"/>
      </w:tabs>
    </w:pPr>
  </w:style>
  <w:style w:type="character" w:customStyle="1" w:styleId="BunntekstTegn">
    <w:name w:val="Bunntekst Tegn"/>
    <w:basedOn w:val="Standardskriftforavsnitt"/>
    <w:link w:val="Bunntekst"/>
    <w:uiPriority w:val="99"/>
    <w:locked/>
    <w:rsid w:val="0075586C"/>
    <w:rPr>
      <w:rFonts w:cs="Times New Roman"/>
      <w:lang w:val="nb-NO" w:eastAsia="nb-NO" w:bidi="ar-SA"/>
    </w:rPr>
  </w:style>
  <w:style w:type="paragraph" w:customStyle="1" w:styleId="BodyText21">
    <w:name w:val="Body Text 21"/>
    <w:basedOn w:val="Normal"/>
    <w:uiPriority w:val="99"/>
    <w:rsid w:val="0075586C"/>
    <w:pPr>
      <w:ind w:left="708"/>
    </w:pPr>
  </w:style>
  <w:style w:type="character" w:styleId="Merknadsreferanse">
    <w:name w:val="annotation reference"/>
    <w:basedOn w:val="Standardskriftforavsnitt"/>
    <w:uiPriority w:val="99"/>
    <w:rsid w:val="0075586C"/>
    <w:rPr>
      <w:rFonts w:cs="Times New Roman"/>
      <w:sz w:val="16"/>
      <w:szCs w:val="16"/>
    </w:rPr>
  </w:style>
  <w:style w:type="paragraph" w:styleId="Merknadstekst">
    <w:name w:val="annotation text"/>
    <w:basedOn w:val="Normal"/>
    <w:link w:val="MerknadstekstTegn"/>
    <w:uiPriority w:val="99"/>
    <w:rsid w:val="0075586C"/>
  </w:style>
  <w:style w:type="character" w:customStyle="1" w:styleId="MerknadstekstTegn">
    <w:name w:val="Merknadstekst Tegn"/>
    <w:basedOn w:val="Standardskriftforavsnitt"/>
    <w:link w:val="Merknadstekst"/>
    <w:uiPriority w:val="99"/>
    <w:locked/>
    <w:rsid w:val="0075586C"/>
    <w:rPr>
      <w:rFonts w:cs="Times New Roman"/>
      <w:lang w:val="nb-NO" w:eastAsia="nb-NO" w:bidi="ar-SA"/>
    </w:rPr>
  </w:style>
  <w:style w:type="paragraph" w:styleId="Bobletekst">
    <w:name w:val="Balloon Text"/>
    <w:basedOn w:val="Normal"/>
    <w:link w:val="BobletekstTegn"/>
    <w:uiPriority w:val="99"/>
    <w:semiHidden/>
    <w:rsid w:val="0075586C"/>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B1F74"/>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9781</Characters>
  <Application>Microsoft Office Word</Application>
  <DocSecurity>0</DocSecurity>
  <Lines>81</Lines>
  <Paragraphs>22</Paragraphs>
  <ScaleCrop>false</ScaleCrop>
  <Company>FARTT</Company>
  <LinksUpToDate>false</LinksUpToDate>
  <CharactersWithSpaces>11328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typero</dc:creator>
  <cp:keywords/>
  <dc:description/>
  <cp:lastModifiedBy>osryeliv</cp:lastModifiedBy>
  <cp:revision>2</cp:revision>
  <cp:lastPrinted>2010-08-12T13:11:00Z</cp:lastPrinted>
  <dcterms:created xsi:type="dcterms:W3CDTF">2012-11-07T10:26:00Z</dcterms:created>
  <dcterms:modified xsi:type="dcterms:W3CDTF">2012-11-07T10:26:00Z</dcterms:modified>
</cp:coreProperties>
</file>