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C9" w:rsidRPr="001D70C9" w:rsidRDefault="001D70C9" w:rsidP="001D70C9">
      <w:pPr>
        <w:keepNext/>
        <w:spacing w:before="360" w:after="120" w:line="240" w:lineRule="auto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val="nb-NO" w:eastAsia="nb-NO"/>
        </w:rPr>
      </w:pPr>
      <w:bookmarkStart w:id="0" w:name="_Toc318114758"/>
      <w:r w:rsidRPr="001D70C9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val="nb-NO" w:eastAsia="nb-NO"/>
        </w:rPr>
        <w:t>Nødprosedyre ved utilgjengelig system</w:t>
      </w:r>
      <w:bookmarkEnd w:id="0"/>
    </w:p>
    <w:p w:rsidR="001D70C9" w:rsidRDefault="001D70C9" w:rsidP="001D70C9">
      <w:pPr>
        <w:spacing w:after="0" w:line="240" w:lineRule="auto"/>
        <w:rPr>
          <w:rFonts w:ascii="Calibri" w:eastAsia="Times New Roman" w:hAnsi="Calibri" w:cs="Calibri"/>
          <w:szCs w:val="20"/>
          <w:lang w:val="nb-NO" w:eastAsia="nb-NO"/>
        </w:rPr>
      </w:pPr>
    </w:p>
    <w:p w:rsidR="001D70C9" w:rsidRPr="001D70C9" w:rsidRDefault="001D70C9" w:rsidP="001D70C9">
      <w:pPr>
        <w:spacing w:after="0" w:line="240" w:lineRule="auto"/>
        <w:rPr>
          <w:rFonts w:ascii="Calibri" w:eastAsia="Times New Roman" w:hAnsi="Calibri" w:cs="Calibri"/>
          <w:szCs w:val="20"/>
          <w:lang w:val="nb-NO" w:eastAsia="nb-NO"/>
        </w:rPr>
      </w:pPr>
      <w:bookmarkStart w:id="1" w:name="_GoBack"/>
      <w:bookmarkEnd w:id="1"/>
      <w:r w:rsidRPr="001D70C9">
        <w:rPr>
          <w:rFonts w:ascii="Calibri" w:eastAsia="Times New Roman" w:hAnsi="Calibri" w:cs="Calibri"/>
          <w:szCs w:val="20"/>
          <w:lang w:val="nb-NO" w:eastAsia="nb-NO"/>
        </w:rPr>
        <w:t>Hvis journal- og arkivsystemet er utilgjengelig for et lengre tidsrom, skal arkivet sette i verk nødprosedyre som beskrevet nedenfor.</w:t>
      </w:r>
    </w:p>
    <w:p w:rsidR="001D70C9" w:rsidRPr="001D70C9" w:rsidRDefault="001D70C9" w:rsidP="001D70C9">
      <w:pPr>
        <w:keepNext/>
        <w:keepLines/>
        <w:spacing w:before="200" w:after="0"/>
        <w:outlineLvl w:val="3"/>
        <w:rPr>
          <w:rFonts w:ascii="Cambria" w:eastAsia="Times New Roman" w:hAnsi="Cambria" w:cs="Times New Roman"/>
          <w:b/>
          <w:bCs/>
          <w:i/>
          <w:iCs/>
          <w:color w:val="4F81BD"/>
          <w:lang w:val="nb-NO" w:eastAsia="nb-NO"/>
        </w:rPr>
      </w:pPr>
      <w:r w:rsidRPr="001D70C9">
        <w:rPr>
          <w:rFonts w:ascii="Cambria" w:eastAsia="Times New Roman" w:hAnsi="Cambria" w:cs="Times New Roman"/>
          <w:b/>
          <w:bCs/>
          <w:i/>
          <w:iCs/>
          <w:color w:val="4F81BD"/>
          <w:lang w:val="nb-NO" w:eastAsia="nb-NO"/>
        </w:rPr>
        <w:t>Føring av midlertidig journal</w:t>
      </w:r>
    </w:p>
    <w:p w:rsidR="001D70C9" w:rsidRPr="001D70C9" w:rsidRDefault="001D70C9" w:rsidP="001D70C9">
      <w:pPr>
        <w:spacing w:after="0" w:line="240" w:lineRule="auto"/>
        <w:rPr>
          <w:rFonts w:ascii="Calibri" w:eastAsia="Times New Roman" w:hAnsi="Calibri" w:cs="Calibri"/>
          <w:szCs w:val="20"/>
          <w:lang w:val="nb-NO" w:eastAsia="nb-NO"/>
        </w:rPr>
      </w:pPr>
      <w:r w:rsidRPr="001D70C9">
        <w:rPr>
          <w:rFonts w:ascii="Calibri" w:eastAsia="Times New Roman" w:hAnsi="Calibri" w:cs="Calibri"/>
          <w:szCs w:val="20"/>
          <w:lang w:val="nb-NO" w:eastAsia="nb-NO"/>
        </w:rPr>
        <w:t>Arkivet fører en midlertidig papirjournal over inn- og utgående dokumenter, som inneholder opplysninger i henhold til arkivloven § 2-7. Skjema for midlertidig journalføring må lages.</w:t>
      </w:r>
    </w:p>
    <w:p w:rsidR="001D70C9" w:rsidRPr="001D70C9" w:rsidRDefault="001D70C9" w:rsidP="001D70C9">
      <w:pPr>
        <w:keepNext/>
        <w:keepLines/>
        <w:spacing w:before="200" w:after="0"/>
        <w:outlineLvl w:val="3"/>
        <w:rPr>
          <w:rFonts w:ascii="Cambria" w:eastAsia="Times New Roman" w:hAnsi="Cambria" w:cs="Times New Roman"/>
          <w:b/>
          <w:bCs/>
          <w:i/>
          <w:iCs/>
          <w:color w:val="4F81BD"/>
          <w:lang w:val="nb-NO" w:eastAsia="nb-NO"/>
        </w:rPr>
      </w:pPr>
      <w:r w:rsidRPr="001D70C9">
        <w:rPr>
          <w:rFonts w:ascii="Cambria" w:eastAsia="Times New Roman" w:hAnsi="Cambria" w:cs="Times New Roman"/>
          <w:b/>
          <w:bCs/>
          <w:i/>
          <w:iCs/>
          <w:color w:val="4F81BD"/>
          <w:lang w:val="nb-NO" w:eastAsia="nb-NO"/>
        </w:rPr>
        <w:t>Behandling av innkomne og interne dokumenter</w:t>
      </w:r>
    </w:p>
    <w:p w:rsidR="001D70C9" w:rsidRPr="001D70C9" w:rsidRDefault="001D70C9" w:rsidP="001D70C9">
      <w:pPr>
        <w:spacing w:after="0" w:line="240" w:lineRule="auto"/>
        <w:rPr>
          <w:rFonts w:ascii="Calibri" w:eastAsia="Times New Roman" w:hAnsi="Calibri" w:cs="Calibri"/>
          <w:szCs w:val="20"/>
          <w:lang w:val="nb-NO" w:eastAsia="nb-NO"/>
        </w:rPr>
      </w:pPr>
      <w:r w:rsidRPr="001D70C9">
        <w:rPr>
          <w:rFonts w:ascii="Calibri" w:eastAsia="Times New Roman" w:hAnsi="Calibri" w:cs="Calibri"/>
          <w:szCs w:val="20"/>
          <w:lang w:val="nb-NO" w:eastAsia="nb-NO"/>
        </w:rPr>
        <w:t>Arkivet registrerer innkomne dokumenter, både eksterne og interne, i den midlertidige papirjournalen. Deretter tas det kopi av originaldokumentet. Originalen oppbevares hos arkivet inntil nødprosedyren er avsluttet og dokumentet kan skannes og registreres i WebSak. Kopiene påføres påskriften "</w:t>
      </w:r>
      <w:r w:rsidRPr="001D70C9">
        <w:rPr>
          <w:rFonts w:ascii="Calibri" w:eastAsia="Times New Roman" w:hAnsi="Calibri" w:cs="Calibri"/>
          <w:i/>
          <w:szCs w:val="20"/>
          <w:lang w:val="nb-NO" w:eastAsia="nb-NO"/>
        </w:rPr>
        <w:t xml:space="preserve">Ikke skannet og reg”.  </w:t>
      </w:r>
      <w:r w:rsidRPr="001D70C9">
        <w:rPr>
          <w:rFonts w:ascii="Calibri" w:eastAsia="Times New Roman" w:hAnsi="Calibri" w:cs="Calibri"/>
          <w:szCs w:val="20"/>
          <w:lang w:val="nb-NO" w:eastAsia="nb-NO"/>
        </w:rPr>
        <w:t>Kopiene fordeles deretter til leder/saksbehandler.</w:t>
      </w:r>
    </w:p>
    <w:p w:rsidR="001D70C9" w:rsidRPr="001D70C9" w:rsidRDefault="001D70C9" w:rsidP="001D70C9">
      <w:pPr>
        <w:spacing w:after="0" w:line="240" w:lineRule="auto"/>
        <w:rPr>
          <w:rFonts w:ascii="Calibri" w:eastAsia="Times New Roman" w:hAnsi="Calibri" w:cs="Calibri"/>
          <w:szCs w:val="20"/>
          <w:lang w:val="nb-NO" w:eastAsia="nb-NO"/>
        </w:rPr>
      </w:pPr>
    </w:p>
    <w:p w:rsidR="001D70C9" w:rsidRPr="001D70C9" w:rsidRDefault="001D70C9" w:rsidP="001D70C9">
      <w:pPr>
        <w:spacing w:after="0" w:line="240" w:lineRule="auto"/>
        <w:rPr>
          <w:rFonts w:ascii="Calibri" w:eastAsia="Times New Roman" w:hAnsi="Calibri" w:cs="Calibri"/>
          <w:szCs w:val="20"/>
          <w:lang w:val="nb-NO" w:eastAsia="nb-NO"/>
        </w:rPr>
      </w:pPr>
      <w:r w:rsidRPr="001D70C9">
        <w:rPr>
          <w:rFonts w:ascii="Calibri" w:eastAsia="Times New Roman" w:hAnsi="Calibri" w:cs="Calibri"/>
          <w:szCs w:val="20"/>
          <w:lang w:val="nb-NO" w:eastAsia="nb-NO"/>
        </w:rPr>
        <w:t xml:space="preserve">Når systemet igjen er tilgjengelig, registreres originaldokumentene samt adm.enhet og saksbehandler i WebSak Fokus på grunnlag av den midlertidige journalen. Dokumentene skannes og fordeles til leder/saksbehandler. Saksbehandler kasserer kopiene. Er det påført merknader, legges disse inn i Websak Fokus under merknader til journalposten. </w:t>
      </w:r>
    </w:p>
    <w:p w:rsidR="001D70C9" w:rsidRPr="001D70C9" w:rsidRDefault="001D70C9" w:rsidP="001D70C9">
      <w:pPr>
        <w:keepNext/>
        <w:keepLines/>
        <w:spacing w:before="200" w:after="0"/>
        <w:outlineLvl w:val="3"/>
        <w:rPr>
          <w:rFonts w:ascii="Cambria" w:eastAsia="Times New Roman" w:hAnsi="Cambria" w:cs="Times New Roman"/>
          <w:b/>
          <w:bCs/>
          <w:i/>
          <w:iCs/>
          <w:color w:val="4F81BD"/>
          <w:lang w:val="nb-NO" w:eastAsia="nb-NO"/>
        </w:rPr>
      </w:pPr>
      <w:r w:rsidRPr="001D70C9">
        <w:rPr>
          <w:rFonts w:ascii="Cambria" w:eastAsia="Times New Roman" w:hAnsi="Cambria" w:cs="Times New Roman"/>
          <w:b/>
          <w:bCs/>
          <w:i/>
          <w:iCs/>
          <w:color w:val="4F81BD"/>
          <w:lang w:val="nb-NO" w:eastAsia="nb-NO"/>
        </w:rPr>
        <w:t xml:space="preserve">Behandling av utgående dokumenter  </w:t>
      </w:r>
    </w:p>
    <w:p w:rsidR="001D70C9" w:rsidRPr="001D70C9" w:rsidRDefault="001D70C9" w:rsidP="001D70C9">
      <w:pPr>
        <w:spacing w:after="0" w:line="240" w:lineRule="auto"/>
        <w:rPr>
          <w:rFonts w:ascii="Calibri" w:eastAsia="Times New Roman" w:hAnsi="Calibri" w:cs="Calibri"/>
          <w:szCs w:val="20"/>
          <w:lang w:val="nb-NO" w:eastAsia="nb-NO"/>
        </w:rPr>
      </w:pPr>
      <w:r w:rsidRPr="001D70C9">
        <w:rPr>
          <w:rFonts w:ascii="Calibri" w:eastAsia="Times New Roman" w:hAnsi="Calibri" w:cs="Calibri"/>
          <w:szCs w:val="20"/>
          <w:lang w:val="nb-NO" w:eastAsia="nb-NO"/>
        </w:rPr>
        <w:t xml:space="preserve">Saksbehandler produserer dokumentene i det ordinære tekstbehandlingssystemet eller annet hensiktsmessig system. </w:t>
      </w:r>
    </w:p>
    <w:p w:rsidR="001D70C9" w:rsidRPr="001D70C9" w:rsidRDefault="001D70C9" w:rsidP="001D70C9">
      <w:pPr>
        <w:spacing w:after="0" w:line="240" w:lineRule="auto"/>
        <w:ind w:left="709"/>
        <w:rPr>
          <w:rFonts w:ascii="Calibri" w:eastAsia="Times New Roman" w:hAnsi="Calibri" w:cs="Calibri"/>
          <w:szCs w:val="20"/>
          <w:lang w:val="nb-NO" w:eastAsia="nb-NO"/>
        </w:rPr>
      </w:pPr>
    </w:p>
    <w:p w:rsidR="001D70C9" w:rsidRPr="001D70C9" w:rsidRDefault="001D70C9" w:rsidP="001D70C9">
      <w:pPr>
        <w:spacing w:after="0" w:line="240" w:lineRule="auto"/>
        <w:rPr>
          <w:rFonts w:ascii="Calibri" w:eastAsia="Times New Roman" w:hAnsi="Calibri" w:cs="Calibri"/>
          <w:szCs w:val="20"/>
          <w:lang w:val="nb-NO" w:eastAsia="nb-NO"/>
        </w:rPr>
      </w:pPr>
      <w:r w:rsidRPr="001D70C9">
        <w:rPr>
          <w:rFonts w:ascii="Calibri" w:eastAsia="Times New Roman" w:hAnsi="Calibri" w:cs="Calibri"/>
          <w:szCs w:val="20"/>
          <w:lang w:val="nb-NO" w:eastAsia="nb-NO"/>
        </w:rPr>
        <w:t>Arkivkopi av det utgående dokumentet sendes til arkivet via e-post, eller på papir. Arkivet journalfører de utgående dokumentene i den midlertidige journalen.</w:t>
      </w:r>
    </w:p>
    <w:p w:rsidR="001D70C9" w:rsidRPr="001D70C9" w:rsidRDefault="001D70C9" w:rsidP="001D70C9">
      <w:pPr>
        <w:spacing w:after="0" w:line="240" w:lineRule="auto"/>
        <w:ind w:left="709"/>
        <w:rPr>
          <w:rFonts w:ascii="Calibri" w:eastAsia="Times New Roman" w:hAnsi="Calibri" w:cs="Calibri"/>
          <w:szCs w:val="20"/>
          <w:lang w:val="nb-NO" w:eastAsia="nb-NO"/>
        </w:rPr>
      </w:pPr>
    </w:p>
    <w:p w:rsidR="001D70C9" w:rsidRPr="001D70C9" w:rsidRDefault="001D70C9" w:rsidP="001D70C9">
      <w:pPr>
        <w:spacing w:after="0" w:line="240" w:lineRule="auto"/>
        <w:rPr>
          <w:rFonts w:ascii="Calibri" w:eastAsia="Times New Roman" w:hAnsi="Calibri" w:cs="Calibri"/>
          <w:szCs w:val="20"/>
          <w:lang w:val="nb-NO" w:eastAsia="nb-NO"/>
        </w:rPr>
      </w:pPr>
      <w:r w:rsidRPr="001D70C9">
        <w:rPr>
          <w:rFonts w:ascii="Calibri" w:eastAsia="Times New Roman" w:hAnsi="Calibri" w:cs="Calibri"/>
          <w:szCs w:val="20"/>
          <w:lang w:val="nb-NO" w:eastAsia="nb-NO"/>
        </w:rPr>
        <w:t>Når systemet igjen er tilgjengelig, registrerer arkivet utgående dokumenter i WebSak på grunnlag tilsendt epost eller papirkopi og registreringene i den midlertidige papirjournalen. Dokumentene knyttes til elektronisk arkiv ved å arkivere de elektroniske filene ev skannes.</w:t>
      </w:r>
    </w:p>
    <w:p w:rsidR="00616C00" w:rsidRDefault="00616C00"/>
    <w:sectPr w:rsidR="00616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54D13"/>
    <w:multiLevelType w:val="hybridMultilevel"/>
    <w:tmpl w:val="39F6E0B6"/>
    <w:lvl w:ilvl="0" w:tplc="499C778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9344EDE">
      <w:start w:val="1"/>
      <w:numFmt w:val="lowerLetter"/>
      <w:lvlText w:val="%2."/>
      <w:lvlJc w:val="left"/>
      <w:pPr>
        <w:ind w:left="1080" w:hanging="360"/>
      </w:pPr>
    </w:lvl>
    <w:lvl w:ilvl="2" w:tplc="2E503402">
      <w:start w:val="1"/>
      <w:numFmt w:val="lowerRoman"/>
      <w:lvlText w:val="%3."/>
      <w:lvlJc w:val="right"/>
      <w:pPr>
        <w:ind w:left="1800" w:hanging="180"/>
      </w:pPr>
    </w:lvl>
    <w:lvl w:ilvl="3" w:tplc="8638BB3E" w:tentative="1">
      <w:start w:val="1"/>
      <w:numFmt w:val="decimal"/>
      <w:lvlText w:val="%4."/>
      <w:lvlJc w:val="left"/>
      <w:pPr>
        <w:ind w:left="2520" w:hanging="360"/>
      </w:pPr>
    </w:lvl>
    <w:lvl w:ilvl="4" w:tplc="F46EB40C" w:tentative="1">
      <w:start w:val="1"/>
      <w:numFmt w:val="lowerLetter"/>
      <w:lvlText w:val="%5."/>
      <w:lvlJc w:val="left"/>
      <w:pPr>
        <w:ind w:left="3240" w:hanging="360"/>
      </w:pPr>
    </w:lvl>
    <w:lvl w:ilvl="5" w:tplc="A426F8B8" w:tentative="1">
      <w:start w:val="1"/>
      <w:numFmt w:val="lowerRoman"/>
      <w:lvlText w:val="%6."/>
      <w:lvlJc w:val="right"/>
      <w:pPr>
        <w:ind w:left="3960" w:hanging="180"/>
      </w:pPr>
    </w:lvl>
    <w:lvl w:ilvl="6" w:tplc="48369572" w:tentative="1">
      <w:start w:val="1"/>
      <w:numFmt w:val="decimal"/>
      <w:lvlText w:val="%7."/>
      <w:lvlJc w:val="left"/>
      <w:pPr>
        <w:ind w:left="4680" w:hanging="360"/>
      </w:pPr>
    </w:lvl>
    <w:lvl w:ilvl="7" w:tplc="DB3C17AE" w:tentative="1">
      <w:start w:val="1"/>
      <w:numFmt w:val="lowerLetter"/>
      <w:lvlText w:val="%8."/>
      <w:lvlJc w:val="left"/>
      <w:pPr>
        <w:ind w:left="5400" w:hanging="360"/>
      </w:pPr>
    </w:lvl>
    <w:lvl w:ilvl="8" w:tplc="DFC2D3B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C9"/>
    <w:rsid w:val="001D70C9"/>
    <w:rsid w:val="0061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Sølvi Legård</dc:creator>
  <cp:lastModifiedBy>Sølvi Legård</cp:lastModifiedBy>
  <cp:revision>1</cp:revision>
  <dcterms:created xsi:type="dcterms:W3CDTF">2014-05-26T08:18:00Z</dcterms:created>
  <dcterms:modified xsi:type="dcterms:W3CDTF">2014-05-26T08:19:00Z</dcterms:modified>
</cp:coreProperties>
</file>