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Vår ref</w:t>
            </w:r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ref: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442A9A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7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442A9A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442A9A">
            <w:pPr>
              <w:pStyle w:val="Topptekst"/>
              <w:rPr>
                <w:sz w:val="24"/>
              </w:rPr>
            </w:pPr>
            <w:bookmarkStart w:id="8" w:name="BREVDATO"/>
            <w:r>
              <w:rPr>
                <w:sz w:val="24"/>
              </w:rPr>
              <w:t>22.03.2013</w:t>
            </w:r>
            <w:bookmarkEnd w:id="8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442A9A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Rutiner for interkommunalt samarbeid</w:t>
      </w:r>
      <w:bookmarkEnd w:id="10"/>
    </w:p>
    <w:p w:rsidR="000D43BD" w:rsidRPr="000D43BD" w:rsidRDefault="000D43BD" w:rsidP="000D43BD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bookmarkStart w:id="11" w:name="Start"/>
      <w:bookmarkEnd w:id="11"/>
      <w:r w:rsidRPr="000D43BD">
        <w:rPr>
          <w:b/>
          <w:bCs/>
          <w:i/>
          <w:iCs/>
          <w:color w:val="000000"/>
        </w:rPr>
        <w:t>Rutine for prosjektsamarbeid</w:t>
      </w:r>
    </w:p>
    <w:p w:rsidR="000D43BD" w:rsidRDefault="000D43BD" w:rsidP="000D43BD">
      <w:pPr>
        <w:autoSpaceDE w:val="0"/>
        <w:autoSpaceDN w:val="0"/>
        <w:adjustRightInd w:val="0"/>
        <w:rPr>
          <w:color w:val="000000"/>
        </w:rPr>
      </w:pPr>
      <w:r w:rsidRPr="000D43BD">
        <w:rPr>
          <w:color w:val="000000"/>
        </w:rPr>
        <w:t>I et prosjektsamarbeid mellom alle eller noen av kommunene i Østregionen vil det alltid være en leder av</w:t>
      </w:r>
      <w:r>
        <w:rPr>
          <w:color w:val="000000"/>
        </w:rPr>
        <w:t xml:space="preserve"> </w:t>
      </w:r>
      <w:r w:rsidRPr="000D43BD">
        <w:rPr>
          <w:color w:val="000000"/>
        </w:rPr>
        <w:t>prosjektet. Denne lederen og kommunen han/hun er ansatt i vil ha ansvaret for å arkivere all arkivverdig</w:t>
      </w:r>
      <w:r>
        <w:rPr>
          <w:color w:val="000000"/>
        </w:rPr>
        <w:t xml:space="preserve"> </w:t>
      </w:r>
      <w:r w:rsidRPr="000D43BD">
        <w:rPr>
          <w:color w:val="000000"/>
        </w:rPr>
        <w:t>korrespondanse komplett i ePhorte.</w:t>
      </w:r>
    </w:p>
    <w:p w:rsidR="000D43BD" w:rsidRPr="000D43BD" w:rsidRDefault="000D43BD" w:rsidP="000D43BD">
      <w:pPr>
        <w:autoSpaceDE w:val="0"/>
        <w:autoSpaceDN w:val="0"/>
        <w:adjustRightInd w:val="0"/>
        <w:rPr>
          <w:color w:val="000000"/>
        </w:rPr>
      </w:pPr>
    </w:p>
    <w:p w:rsidR="000D43BD" w:rsidRDefault="000D43BD" w:rsidP="000D43BD">
      <w:pPr>
        <w:autoSpaceDE w:val="0"/>
        <w:autoSpaceDN w:val="0"/>
        <w:adjustRightInd w:val="0"/>
        <w:rPr>
          <w:color w:val="000000"/>
        </w:rPr>
      </w:pPr>
      <w:r w:rsidRPr="000D43BD">
        <w:rPr>
          <w:color w:val="000000"/>
        </w:rPr>
        <w:t>I tillegg skal hver deltakende kommune v/prosjektdeltaker se til at alle innkallinger og protokoller fra felles møter</w:t>
      </w:r>
      <w:r>
        <w:rPr>
          <w:color w:val="000000"/>
        </w:rPr>
        <w:t xml:space="preserve"> </w:t>
      </w:r>
      <w:r w:rsidRPr="000D43BD">
        <w:rPr>
          <w:color w:val="000000"/>
        </w:rPr>
        <w:t>blir arkivert i egen sak i ePhorte i egen kommune. Det bør legg</w:t>
      </w:r>
      <w:r>
        <w:rPr>
          <w:color w:val="000000"/>
        </w:rPr>
        <w:t>es</w:t>
      </w:r>
      <w:r w:rsidRPr="000D43BD">
        <w:rPr>
          <w:color w:val="000000"/>
        </w:rPr>
        <w:t xml:space="preserve"> merknad på saken om hvilken kommune som</w:t>
      </w:r>
      <w:r>
        <w:rPr>
          <w:color w:val="000000"/>
        </w:rPr>
        <w:t xml:space="preserve"> </w:t>
      </w:r>
      <w:r w:rsidRPr="000D43BD">
        <w:rPr>
          <w:color w:val="000000"/>
        </w:rPr>
        <w:t>har fullstendig arkivansvar, gjerne også med saksnummer.</w:t>
      </w:r>
    </w:p>
    <w:p w:rsidR="000D43BD" w:rsidRPr="000D43BD" w:rsidRDefault="000D43BD" w:rsidP="000D43BD">
      <w:pPr>
        <w:autoSpaceDE w:val="0"/>
        <w:autoSpaceDN w:val="0"/>
        <w:adjustRightInd w:val="0"/>
        <w:rPr>
          <w:color w:val="000000"/>
        </w:rPr>
      </w:pPr>
    </w:p>
    <w:p w:rsidR="000D43BD" w:rsidRPr="000D43BD" w:rsidRDefault="000D43BD" w:rsidP="000D43BD">
      <w:pPr>
        <w:autoSpaceDE w:val="0"/>
        <w:autoSpaceDN w:val="0"/>
        <w:adjustRightInd w:val="0"/>
        <w:rPr>
          <w:color w:val="000000"/>
        </w:rPr>
      </w:pPr>
      <w:r w:rsidRPr="000D43BD">
        <w:rPr>
          <w:color w:val="000000"/>
        </w:rPr>
        <w:t>Når prosjektet avsluttes skal det tas utskrift av saksmappeinnhold hos den kommunen som har hatt det totale</w:t>
      </w:r>
      <w:r>
        <w:rPr>
          <w:color w:val="000000"/>
        </w:rPr>
        <w:t xml:space="preserve"> </w:t>
      </w:r>
      <w:r w:rsidRPr="000D43BD">
        <w:rPr>
          <w:color w:val="000000"/>
        </w:rPr>
        <w:t>arkivansvaret (altså der prosjektleder sitter), og denne skal så oversendes de andre deltakende kommuner og</w:t>
      </w:r>
      <w:r>
        <w:rPr>
          <w:color w:val="000000"/>
        </w:rPr>
        <w:t xml:space="preserve"> </w:t>
      </w:r>
      <w:r w:rsidRPr="000D43BD">
        <w:rPr>
          <w:color w:val="000000"/>
        </w:rPr>
        <w:t>skannes inn i deres saker ang. prosjektet. Slik dokumenteres innholdet i saken i alle kommuner, og en kan lett</w:t>
      </w:r>
      <w:r>
        <w:rPr>
          <w:color w:val="000000"/>
        </w:rPr>
        <w:t xml:space="preserve"> </w:t>
      </w:r>
      <w:r w:rsidRPr="000D43BD">
        <w:rPr>
          <w:color w:val="000000"/>
        </w:rPr>
        <w:t>finne fram til hvor saken er arkivert komplett i ettertid.</w:t>
      </w:r>
    </w:p>
    <w:p w:rsidR="000D43BD" w:rsidRDefault="000D43BD" w:rsidP="000D43BD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0D43BD" w:rsidRPr="000D43BD" w:rsidRDefault="000D43BD" w:rsidP="000D43BD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0D43BD">
        <w:rPr>
          <w:b/>
          <w:bCs/>
          <w:i/>
          <w:iCs/>
          <w:color w:val="000000"/>
        </w:rPr>
        <w:t>Ordinære samarbeid – ingen vertskommune</w:t>
      </w:r>
    </w:p>
    <w:p w:rsidR="000D43BD" w:rsidRDefault="000D43BD" w:rsidP="000D43BD">
      <w:pPr>
        <w:autoSpaceDE w:val="0"/>
        <w:autoSpaceDN w:val="0"/>
        <w:adjustRightInd w:val="0"/>
        <w:rPr>
          <w:color w:val="000000"/>
        </w:rPr>
      </w:pPr>
      <w:r w:rsidRPr="000D43BD">
        <w:rPr>
          <w:color w:val="000000"/>
        </w:rPr>
        <w:t>Ettersom Østregionkommunene er selvstendige kommuner skal innkallinger og protokoller fra alle samarbeider</w:t>
      </w:r>
      <w:r>
        <w:rPr>
          <w:color w:val="000000"/>
        </w:rPr>
        <w:t xml:space="preserve"> </w:t>
      </w:r>
      <w:r w:rsidRPr="000D43BD">
        <w:rPr>
          <w:color w:val="000000"/>
        </w:rPr>
        <w:t>arkiveres komplett i alle arkivene.</w:t>
      </w:r>
    </w:p>
    <w:p w:rsidR="000D43BD" w:rsidRPr="000D43BD" w:rsidRDefault="000D43BD" w:rsidP="000D43BD">
      <w:pPr>
        <w:autoSpaceDE w:val="0"/>
        <w:autoSpaceDN w:val="0"/>
        <w:adjustRightInd w:val="0"/>
        <w:rPr>
          <w:color w:val="000000"/>
        </w:rPr>
      </w:pPr>
    </w:p>
    <w:p w:rsidR="000D43BD" w:rsidRPr="000D43BD" w:rsidRDefault="000D43BD" w:rsidP="000D43BD">
      <w:pPr>
        <w:autoSpaceDE w:val="0"/>
        <w:autoSpaceDN w:val="0"/>
        <w:adjustRightInd w:val="0"/>
        <w:rPr>
          <w:color w:val="000000"/>
        </w:rPr>
      </w:pPr>
      <w:r w:rsidRPr="000D43BD">
        <w:rPr>
          <w:color w:val="000000"/>
        </w:rPr>
        <w:t>Korrespondanse med saksparter, for eksempel søknad og tilsagn til Regionalt Næringsfond, arkiveres i den</w:t>
      </w:r>
      <w:r>
        <w:rPr>
          <w:color w:val="000000"/>
        </w:rPr>
        <w:t xml:space="preserve"> </w:t>
      </w:r>
      <w:r w:rsidRPr="000D43BD">
        <w:rPr>
          <w:color w:val="000000"/>
        </w:rPr>
        <w:t>enkelte kommune.</w:t>
      </w:r>
      <w:r>
        <w:rPr>
          <w:color w:val="000000"/>
        </w:rPr>
        <w:t xml:space="preserve"> </w:t>
      </w:r>
      <w:r w:rsidRPr="000D43BD">
        <w:rPr>
          <w:color w:val="000000"/>
        </w:rPr>
        <w:t>Saksbehandler i kommunen som produserer innkalling eller protokoll skal sende denne via de øvrige kommuners</w:t>
      </w:r>
      <w:r>
        <w:rPr>
          <w:color w:val="000000"/>
        </w:rPr>
        <w:t xml:space="preserve"> </w:t>
      </w:r>
      <w:r w:rsidRPr="000D43BD">
        <w:rPr>
          <w:color w:val="000000"/>
        </w:rPr>
        <w:t>postmottak for å sikre korrekt og komplett arkivering.</w:t>
      </w:r>
    </w:p>
    <w:p w:rsidR="000D43BD" w:rsidRPr="000D43BD" w:rsidRDefault="000D43BD" w:rsidP="000D43BD">
      <w:pPr>
        <w:autoSpaceDE w:val="0"/>
        <w:autoSpaceDN w:val="0"/>
        <w:adjustRightInd w:val="0"/>
        <w:rPr>
          <w:color w:val="0000FF"/>
        </w:rPr>
      </w:pPr>
      <w:r w:rsidRPr="000D43BD">
        <w:rPr>
          <w:color w:val="000000"/>
        </w:rPr>
        <w:t xml:space="preserve">Gjerstad – </w:t>
      </w:r>
      <w:r w:rsidRPr="000D43BD">
        <w:rPr>
          <w:color w:val="0000FF"/>
        </w:rPr>
        <w:t>postmottak@gjerstad.kommune.no</w:t>
      </w:r>
    </w:p>
    <w:p w:rsidR="000D43BD" w:rsidRPr="000D43BD" w:rsidRDefault="000D43BD" w:rsidP="000D43BD">
      <w:pPr>
        <w:autoSpaceDE w:val="0"/>
        <w:autoSpaceDN w:val="0"/>
        <w:adjustRightInd w:val="0"/>
        <w:rPr>
          <w:color w:val="0000FF"/>
        </w:rPr>
      </w:pPr>
      <w:r w:rsidRPr="000D43BD">
        <w:rPr>
          <w:color w:val="000000"/>
        </w:rPr>
        <w:t xml:space="preserve">Risør – </w:t>
      </w:r>
      <w:r w:rsidRPr="000D43BD">
        <w:rPr>
          <w:color w:val="0000FF"/>
        </w:rPr>
        <w:t>postmottak@risor.kommune.no</w:t>
      </w:r>
    </w:p>
    <w:p w:rsidR="000D43BD" w:rsidRPr="000D43BD" w:rsidRDefault="000D43BD" w:rsidP="000D43BD">
      <w:pPr>
        <w:autoSpaceDE w:val="0"/>
        <w:autoSpaceDN w:val="0"/>
        <w:adjustRightInd w:val="0"/>
        <w:rPr>
          <w:color w:val="0000FF"/>
        </w:rPr>
      </w:pPr>
      <w:r w:rsidRPr="000D43BD">
        <w:rPr>
          <w:color w:val="000000"/>
        </w:rPr>
        <w:t xml:space="preserve">Tvedestrand – </w:t>
      </w:r>
      <w:r w:rsidRPr="000D43BD">
        <w:rPr>
          <w:color w:val="0000FF"/>
        </w:rPr>
        <w:t>postmottak@tvedestrand.kommune.no</w:t>
      </w:r>
    </w:p>
    <w:p w:rsidR="000D43BD" w:rsidRPr="000D43BD" w:rsidRDefault="000D43BD" w:rsidP="000D43BD">
      <w:pPr>
        <w:autoSpaceDE w:val="0"/>
        <w:autoSpaceDN w:val="0"/>
        <w:adjustRightInd w:val="0"/>
        <w:rPr>
          <w:color w:val="0000FF"/>
        </w:rPr>
      </w:pPr>
      <w:r w:rsidRPr="000D43BD">
        <w:rPr>
          <w:color w:val="000000"/>
        </w:rPr>
        <w:t xml:space="preserve">Vegårshei – </w:t>
      </w:r>
      <w:r w:rsidRPr="000D43BD">
        <w:rPr>
          <w:color w:val="0000FF"/>
        </w:rPr>
        <w:t>postmottak@vegarshei.kommune.no</w:t>
      </w:r>
    </w:p>
    <w:p w:rsidR="000D43BD" w:rsidRDefault="000D43BD" w:rsidP="000D43BD">
      <w:pPr>
        <w:autoSpaceDE w:val="0"/>
        <w:autoSpaceDN w:val="0"/>
        <w:adjustRightInd w:val="0"/>
        <w:rPr>
          <w:color w:val="0000FF"/>
        </w:rPr>
      </w:pPr>
      <w:r w:rsidRPr="000D43BD">
        <w:rPr>
          <w:color w:val="000000"/>
        </w:rPr>
        <w:t xml:space="preserve">Åmli – </w:t>
      </w:r>
      <w:hyperlink r:id="rId8" w:history="1">
        <w:r w:rsidRPr="00C45D34">
          <w:rPr>
            <w:rStyle w:val="Hyperkobling"/>
          </w:rPr>
          <w:t>postmottak@amli.kommune.no</w:t>
        </w:r>
      </w:hyperlink>
    </w:p>
    <w:p w:rsidR="000D43BD" w:rsidRPr="000D43BD" w:rsidRDefault="000D43BD" w:rsidP="000D43BD">
      <w:pPr>
        <w:autoSpaceDE w:val="0"/>
        <w:autoSpaceDN w:val="0"/>
        <w:adjustRightInd w:val="0"/>
        <w:rPr>
          <w:color w:val="0000FF"/>
        </w:rPr>
      </w:pPr>
    </w:p>
    <w:p w:rsidR="000D43BD" w:rsidRPr="000D43BD" w:rsidRDefault="000D43BD" w:rsidP="000D43BD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0D43BD">
        <w:rPr>
          <w:b/>
          <w:bCs/>
          <w:i/>
          <w:iCs/>
          <w:color w:val="000000"/>
        </w:rPr>
        <w:t>Vertskommune samarbeid</w:t>
      </w:r>
    </w:p>
    <w:p w:rsidR="003115B8" w:rsidRDefault="000D43BD">
      <w:r w:rsidRPr="000D43BD">
        <w:rPr>
          <w:color w:val="000000"/>
        </w:rPr>
        <w:t xml:space="preserve">Dersom samarbeidet er i form av vertskommune, er det vertskommunen som har </w:t>
      </w:r>
      <w:r>
        <w:rPr>
          <w:color w:val="000000"/>
        </w:rPr>
        <w:t xml:space="preserve">det fulle </w:t>
      </w:r>
      <w:r w:rsidRPr="000D43BD">
        <w:rPr>
          <w:color w:val="000000"/>
        </w:rPr>
        <w:t>arkivansvaret.</w:t>
      </w:r>
    </w:p>
    <w:p w:rsidR="003115B8" w:rsidRDefault="003115B8"/>
    <w:p w:rsidR="003115B8" w:rsidRDefault="003115B8"/>
    <w:p w:rsidR="003115B8" w:rsidRDefault="00442A9A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sectPr w:rsidR="003115B8">
      <w:headerReference w:type="even" r:id="rId9"/>
      <w:headerReference w:type="default" r:id="rId10"/>
      <w:headerReference w:type="first" r:id="rId11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E1" w:rsidRDefault="00E62AE1">
      <w:r>
        <w:separator/>
      </w:r>
    </w:p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</w:endnote>
  <w:endnote w:type="continuationSeparator" w:id="0">
    <w:p w:rsidR="00E62AE1" w:rsidRDefault="00E62AE1">
      <w:r>
        <w:continuationSeparator/>
      </w:r>
    </w:p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E1" w:rsidRDefault="00E62AE1">
      <w:r>
        <w:separator/>
      </w:r>
    </w:p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</w:footnote>
  <w:footnote w:type="continuationSeparator" w:id="0">
    <w:p w:rsidR="00E62AE1" w:rsidRDefault="00E62AE1">
      <w:r>
        <w:continuationSeparator/>
      </w:r>
    </w:p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  <w:p w:rsidR="00E62AE1" w:rsidRDefault="00E62A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0D43BD"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0D43BD"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3115B8" w:rsidRDefault="003115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3115B8">
      <w:trPr>
        <w:trHeight w:hRule="exact" w:val="1701"/>
      </w:trPr>
      <w:tc>
        <w:tcPr>
          <w:tcW w:w="1321" w:type="dxa"/>
        </w:tcPr>
        <w:p w:rsidR="003115B8" w:rsidRDefault="008C5EEA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3115B8" w:rsidRDefault="003115B8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3115B8" w:rsidRDefault="00442A9A">
          <w:pPr>
            <w:rPr>
              <w:b/>
              <w:sz w:val="28"/>
              <w:szCs w:val="28"/>
            </w:rPr>
          </w:pPr>
          <w:bookmarkStart w:id="13" w:name="ADMBETEGNELSE"/>
          <w:r>
            <w:rPr>
              <w:b/>
              <w:sz w:val="28"/>
              <w:szCs w:val="28"/>
            </w:rPr>
            <w:t>Tvedestrand kommune</w:t>
          </w:r>
          <w:bookmarkEnd w:id="13"/>
        </w:p>
      </w:tc>
      <w:tc>
        <w:tcPr>
          <w:tcW w:w="4034" w:type="dxa"/>
        </w:tcPr>
        <w:p w:rsidR="003115B8" w:rsidRDefault="003115B8">
          <w:pPr>
            <w:pStyle w:val="Topptekst"/>
          </w:pPr>
        </w:p>
      </w:tc>
    </w:tr>
  </w:tbl>
  <w:p w:rsidR="003115B8" w:rsidRDefault="003115B8">
    <w:pPr>
      <w:pStyle w:val="Topptekst"/>
    </w:pPr>
  </w:p>
  <w:p w:rsidR="003115B8" w:rsidRDefault="003115B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E1"/>
    <w:rsid w:val="000D43BD"/>
    <w:rsid w:val="003115B8"/>
    <w:rsid w:val="00442A9A"/>
    <w:rsid w:val="008C5EEA"/>
    <w:rsid w:val="00D73F57"/>
    <w:rsid w:val="00E47C6B"/>
    <w:rsid w:val="00E62AE1"/>
    <w:rsid w:val="00F047FA"/>
    <w:rsid w:val="00F2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amli.kommune.n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1710</Characters>
  <Application>Microsoft Office Word</Application>
  <DocSecurity>4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dcterms:created xsi:type="dcterms:W3CDTF">2014-10-27T13:42:00Z</dcterms:created>
  <dcterms:modified xsi:type="dcterms:W3CDTF">2014-10-27T13:42:00Z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\\DDOEPHNCORE01\ClientWorkFolder$\TVE\175036_DOC.XML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176968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http%3a%2f%2ftvedestrand.ddo.intern%2fephorteweb%2fshared%2faspx%2fDefault%2fdetails.aspx%3ff%3dViewJP%26JP_ID%3d119812%26LoadDocHandling%3dtrue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%5c%5cDDOEPHNCORE01%5cClientWorkFolder%24%5cTVE%5c175036.DOC</vt:lpwstr>
  </property>
  <property fmtid="{D5CDD505-2E9C-101B-9397-08002B2CF9AE}" pid="13" name="LinkId">
    <vt:i4>119812</vt:i4>
  </property>
</Properties>
</file>